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EFB31" w14:textId="77777777" w:rsidR="00736A70" w:rsidRDefault="00736A70" w:rsidP="003B25EC">
      <w:pPr>
        <w:tabs>
          <w:tab w:val="left" w:pos="960"/>
          <w:tab w:val="left" w:pos="3120"/>
        </w:tabs>
        <w:jc w:val="center"/>
        <w:rPr>
          <w:rFonts w:ascii="Garamond" w:hAnsi="Garamond"/>
          <w:szCs w:val="22"/>
        </w:rPr>
      </w:pPr>
    </w:p>
    <w:p w14:paraId="0A774A3D" w14:textId="77777777" w:rsidR="00736A70" w:rsidRPr="001B6666" w:rsidRDefault="00736A70" w:rsidP="003B25EC">
      <w:pPr>
        <w:spacing w:line="223" w:lineRule="auto"/>
        <w:jc w:val="center"/>
        <w:rPr>
          <w:rFonts w:ascii="Garamond" w:hAnsi="Garamond"/>
        </w:rPr>
      </w:pPr>
      <w:r w:rsidRPr="001B6666">
        <w:rPr>
          <w:rFonts w:ascii="Garamond" w:hAnsi="Garamond"/>
          <w:sz w:val="42"/>
        </w:rPr>
        <w:t>Mise à disposi</w:t>
      </w:r>
      <w:r>
        <w:rPr>
          <w:rFonts w:ascii="Garamond" w:hAnsi="Garamond"/>
          <w:sz w:val="42"/>
        </w:rPr>
        <w:t>tion du référent signalement du</w:t>
      </w:r>
      <w:r w:rsidRPr="001B6666">
        <w:rPr>
          <w:rFonts w:ascii="Garamond" w:hAnsi="Garamond"/>
          <w:sz w:val="42"/>
        </w:rPr>
        <w:t xml:space="preserve"> Centre de Gestion de la Fonction Publique</w:t>
      </w:r>
    </w:p>
    <w:p w14:paraId="1D67CBEC" w14:textId="77777777" w:rsidR="00736A70" w:rsidRDefault="00736A70" w:rsidP="003B25EC">
      <w:pPr>
        <w:spacing w:after="792"/>
        <w:jc w:val="center"/>
        <w:rPr>
          <w:rFonts w:ascii="Garamond" w:hAnsi="Garamond"/>
          <w:sz w:val="42"/>
        </w:rPr>
      </w:pPr>
      <w:r w:rsidRPr="001B6666">
        <w:rPr>
          <w:rFonts w:ascii="Garamond" w:hAnsi="Garamond"/>
          <w:sz w:val="42"/>
        </w:rPr>
        <w:t>Territoriale de l'Eure</w:t>
      </w:r>
    </w:p>
    <w:p w14:paraId="3206D455" w14:textId="77777777" w:rsidR="00736A70" w:rsidRDefault="00736A70" w:rsidP="00736A70">
      <w:pPr>
        <w:ind w:left="96"/>
        <w:rPr>
          <w:rFonts w:ascii="Garamond" w:hAnsi="Garamond"/>
          <w:sz w:val="22"/>
          <w:szCs w:val="22"/>
        </w:rPr>
      </w:pPr>
      <w:r>
        <w:rPr>
          <w:rFonts w:ascii="Garamond" w:hAnsi="Garamond"/>
          <w:sz w:val="22"/>
          <w:szCs w:val="22"/>
        </w:rPr>
        <w:t>PREAMBULE</w:t>
      </w:r>
    </w:p>
    <w:p w14:paraId="4B0C922D" w14:textId="77777777" w:rsidR="00736A70" w:rsidRPr="002B3AEB" w:rsidRDefault="00736A70" w:rsidP="00736A70">
      <w:pPr>
        <w:ind w:left="96"/>
        <w:jc w:val="both"/>
        <w:rPr>
          <w:rFonts w:ascii="Garamond" w:hAnsi="Garamond"/>
        </w:rPr>
      </w:pPr>
    </w:p>
    <w:p w14:paraId="3C50A542" w14:textId="2EE80CFB" w:rsidR="00736A70" w:rsidRPr="00DE78C4" w:rsidRDefault="00736A70" w:rsidP="00D44CE5">
      <w:pPr>
        <w:keepNext/>
        <w:ind w:left="96"/>
        <w:jc w:val="both"/>
        <w:rPr>
          <w:rFonts w:ascii="Garamond" w:hAnsi="Garamond" w:cs="Arial"/>
          <w:color w:val="000000"/>
          <w:sz w:val="22"/>
          <w:shd w:val="clear" w:color="auto" w:fill="FFFFFF"/>
        </w:rPr>
      </w:pPr>
      <w:bookmarkStart w:id="0" w:name="_GoBack"/>
      <w:bookmarkEnd w:id="0"/>
      <w:r w:rsidRPr="00DE78C4">
        <w:rPr>
          <w:rFonts w:ascii="Garamond" w:hAnsi="Garamond"/>
          <w:sz w:val="22"/>
        </w:rPr>
        <w:t xml:space="preserve">Le référent signalement : </w:t>
      </w:r>
      <w:r w:rsidR="00B63CC6" w:rsidRPr="00DE78C4">
        <w:rPr>
          <w:rFonts w:ascii="Garamond" w:hAnsi="Garamond"/>
          <w:b/>
          <w:sz w:val="22"/>
        </w:rPr>
        <w:t xml:space="preserve">l’article </w:t>
      </w:r>
      <w:r w:rsidR="003B25EC" w:rsidRPr="00DE78C4">
        <w:rPr>
          <w:rFonts w:ascii="Garamond" w:hAnsi="Garamond"/>
          <w:b/>
          <w:sz w:val="22"/>
        </w:rPr>
        <w:t>452-43</w:t>
      </w:r>
      <w:r w:rsidR="00CA2002" w:rsidRPr="00DE78C4">
        <w:rPr>
          <w:rFonts w:ascii="Garamond" w:hAnsi="Garamond"/>
          <w:b/>
          <w:sz w:val="22"/>
        </w:rPr>
        <w:t xml:space="preserve"> du Code G</w:t>
      </w:r>
      <w:r w:rsidR="00B63CC6" w:rsidRPr="00DE78C4">
        <w:rPr>
          <w:rFonts w:ascii="Garamond" w:hAnsi="Garamond"/>
          <w:b/>
          <w:sz w:val="22"/>
        </w:rPr>
        <w:t xml:space="preserve">énéral de la Fonction Publique </w:t>
      </w:r>
      <w:r w:rsidR="00B63CC6" w:rsidRPr="00DE78C4">
        <w:rPr>
          <w:rFonts w:ascii="Garamond" w:hAnsi="Garamond"/>
          <w:sz w:val="22"/>
        </w:rPr>
        <w:t>prévoit que</w:t>
      </w:r>
      <w:r w:rsidR="008E7F63" w:rsidRPr="00DE78C4">
        <w:rPr>
          <w:rFonts w:ascii="Garamond" w:hAnsi="Garamond"/>
          <w:sz w:val="22"/>
        </w:rPr>
        <w:t xml:space="preserve"> sur demande des collectivités et établissements mentionnés à l'article L. 452-1, situés dans leur ressort territorial, les centres de gestion mettent en place le dispositif de signalement prévu à la section 2 du chapitre V du titre III du livre Ier ayant pour objet de recueillir les signalements des agents qui s'estiment victimes d'un acte de violence, de discrimination, de harcèlement moral ou sexuel ou d'agissements sexistes. </w:t>
      </w:r>
      <w:r w:rsidR="00B63CC6" w:rsidRPr="00DE78C4">
        <w:rPr>
          <w:rFonts w:ascii="Garamond" w:hAnsi="Garamond" w:cs="Arial"/>
          <w:color w:val="000000"/>
          <w:sz w:val="22"/>
          <w:shd w:val="clear" w:color="auto" w:fill="FFFFFF"/>
        </w:rPr>
        <w:t>Ce dispositif permet également de recueillir les signalements de témoins de tels agissements</w:t>
      </w:r>
      <w:r w:rsidR="002B3AEB" w:rsidRPr="00DE78C4">
        <w:rPr>
          <w:rFonts w:ascii="Garamond" w:hAnsi="Garamond" w:cs="Arial"/>
          <w:color w:val="000000"/>
          <w:sz w:val="22"/>
          <w:shd w:val="clear" w:color="auto" w:fill="FFFFFF"/>
        </w:rPr>
        <w:t>.</w:t>
      </w:r>
    </w:p>
    <w:p w14:paraId="39CB9CA1" w14:textId="4CBB41FD" w:rsidR="00B76E9F" w:rsidRPr="00DE78C4" w:rsidRDefault="00B76E9F" w:rsidP="00D44CE5">
      <w:pPr>
        <w:keepNext/>
        <w:ind w:left="96"/>
        <w:jc w:val="both"/>
        <w:rPr>
          <w:rFonts w:ascii="Garamond" w:hAnsi="Garamond" w:cs="Arial"/>
          <w:color w:val="000000"/>
          <w:sz w:val="22"/>
          <w:shd w:val="clear" w:color="auto" w:fill="FFFFFF"/>
        </w:rPr>
      </w:pPr>
    </w:p>
    <w:p w14:paraId="6CEA57A3" w14:textId="2A8193F1" w:rsidR="00B76E9F" w:rsidRPr="00345EF5" w:rsidRDefault="00345EF5" w:rsidP="00B76E9F">
      <w:pPr>
        <w:ind w:left="96"/>
        <w:jc w:val="both"/>
        <w:rPr>
          <w:rFonts w:ascii="Garamond" w:hAnsi="Garamond"/>
          <w:b/>
        </w:rPr>
      </w:pPr>
      <w:r w:rsidRPr="00DE78C4">
        <w:rPr>
          <w:rFonts w:ascii="Garamond" w:hAnsi="Garamond"/>
          <w:sz w:val="22"/>
          <w:szCs w:val="22"/>
        </w:rPr>
        <w:t>L</w:t>
      </w:r>
      <w:r w:rsidR="00B76E9F" w:rsidRPr="00DE78C4">
        <w:rPr>
          <w:rFonts w:ascii="Garamond" w:hAnsi="Garamond"/>
          <w:sz w:val="22"/>
          <w:szCs w:val="22"/>
        </w:rPr>
        <w:t>e dispositif de signalement est une mission optionnelle tant pour les collectivités affiliées que non affiliées dont les conditions de mise en œuvre sont prévues par les articles R135-1 à R135-10 du CGFP.</w:t>
      </w:r>
    </w:p>
    <w:p w14:paraId="75310B7C" w14:textId="77777777" w:rsidR="00B76E9F" w:rsidRDefault="00B76E9F" w:rsidP="00B76E9F">
      <w:pPr>
        <w:ind w:left="96"/>
        <w:jc w:val="center"/>
        <w:rPr>
          <w:rFonts w:ascii="Garamond" w:hAnsi="Garamond"/>
          <w:b/>
        </w:rPr>
      </w:pPr>
    </w:p>
    <w:p w14:paraId="46DF59DB" w14:textId="77777777" w:rsidR="00B76E9F" w:rsidRPr="002B3AEB" w:rsidRDefault="00B76E9F" w:rsidP="00D44CE5">
      <w:pPr>
        <w:keepNext/>
        <w:ind w:left="96"/>
        <w:jc w:val="both"/>
        <w:rPr>
          <w:rFonts w:ascii="Garamond" w:hAnsi="Garamond" w:cs="Arial"/>
          <w:color w:val="000000"/>
          <w:shd w:val="clear" w:color="auto" w:fill="FFFFFF"/>
        </w:rPr>
      </w:pPr>
    </w:p>
    <w:p w14:paraId="7CE0B7CE" w14:textId="77777777" w:rsidR="00736A70" w:rsidRDefault="00736A70" w:rsidP="00736A70">
      <w:pPr>
        <w:ind w:left="96"/>
        <w:jc w:val="center"/>
        <w:rPr>
          <w:rFonts w:ascii="Garamond" w:hAnsi="Garamond"/>
          <w:b/>
        </w:rPr>
      </w:pPr>
    </w:p>
    <w:p w14:paraId="53F84A14" w14:textId="77777777" w:rsidR="00736A70" w:rsidRDefault="00736A70" w:rsidP="00736A70">
      <w:pPr>
        <w:ind w:left="96"/>
        <w:jc w:val="center"/>
        <w:rPr>
          <w:rFonts w:ascii="Garamond" w:hAnsi="Garamond"/>
          <w:b/>
        </w:rPr>
      </w:pPr>
      <w:r w:rsidRPr="001B6666">
        <w:rPr>
          <w:rFonts w:ascii="Garamond" w:hAnsi="Garamond"/>
          <w:b/>
        </w:rPr>
        <w:t>CONVENTION</w:t>
      </w:r>
    </w:p>
    <w:p w14:paraId="773EBEFF" w14:textId="77777777" w:rsidR="00736A70" w:rsidRPr="001B6666" w:rsidRDefault="00736A70" w:rsidP="00736A70">
      <w:pPr>
        <w:ind w:left="96"/>
        <w:jc w:val="center"/>
        <w:rPr>
          <w:rFonts w:ascii="Garamond" w:hAnsi="Garamond"/>
          <w:b/>
        </w:rPr>
      </w:pPr>
    </w:p>
    <w:p w14:paraId="3D3245C2" w14:textId="77777777" w:rsidR="00736A70" w:rsidRPr="001B6666" w:rsidRDefault="00736A70" w:rsidP="00736A70">
      <w:pPr>
        <w:spacing w:after="10" w:line="248" w:lineRule="auto"/>
        <w:ind w:right="7" w:firstLine="4"/>
        <w:rPr>
          <w:rFonts w:ascii="Garamond" w:hAnsi="Garamond"/>
          <w:sz w:val="22"/>
          <w:szCs w:val="22"/>
        </w:rPr>
      </w:pPr>
      <w:r w:rsidRPr="001B6666">
        <w:rPr>
          <w:rFonts w:ascii="Garamond" w:hAnsi="Garamond"/>
          <w:sz w:val="22"/>
          <w:szCs w:val="22"/>
        </w:rPr>
        <w:t>ENTRE :</w:t>
      </w:r>
    </w:p>
    <w:p w14:paraId="4CAAE689" w14:textId="1972C855"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 xml:space="preserve">Le Centre de Gestion de l'Eure, sis 10 Bis Rue du Dr Michel Baudoux - 27000 EVREUX, représenté par Monsieur Pascal LEHONGRE, Président, agissant en vertu de la délibération du Conseil d'Administration </w:t>
      </w:r>
      <w:r w:rsidRPr="000B5B98">
        <w:rPr>
          <w:rFonts w:ascii="Garamond" w:hAnsi="Garamond"/>
          <w:sz w:val="22"/>
          <w:szCs w:val="22"/>
        </w:rPr>
        <w:t>en date du</w:t>
      </w:r>
      <w:r w:rsidR="000B5B98">
        <w:rPr>
          <w:rFonts w:ascii="Garamond" w:hAnsi="Garamond"/>
          <w:sz w:val="22"/>
          <w:szCs w:val="22"/>
        </w:rPr>
        <w:t xml:space="preserve"> 27 Mars 2025,</w:t>
      </w:r>
    </w:p>
    <w:p w14:paraId="535B0569" w14:textId="77777777" w:rsidR="00736A70" w:rsidRPr="001B6666" w:rsidRDefault="00736A70" w:rsidP="00736A70">
      <w:pPr>
        <w:spacing w:after="442" w:line="248" w:lineRule="auto"/>
        <w:ind w:left="28" w:right="7" w:firstLine="4"/>
        <w:jc w:val="both"/>
        <w:rPr>
          <w:rFonts w:ascii="Garamond" w:hAnsi="Garamond"/>
          <w:sz w:val="22"/>
          <w:szCs w:val="22"/>
        </w:rPr>
      </w:pPr>
      <w:r w:rsidRPr="001B6666">
        <w:rPr>
          <w:rFonts w:ascii="Garamond" w:hAnsi="Garamond"/>
          <w:sz w:val="22"/>
          <w:szCs w:val="22"/>
        </w:rPr>
        <w:t>Ci-aprè</w:t>
      </w:r>
      <w:r>
        <w:rPr>
          <w:rFonts w:ascii="Garamond" w:hAnsi="Garamond"/>
          <w:sz w:val="22"/>
          <w:szCs w:val="22"/>
        </w:rPr>
        <w:t>s désigné par les termes « le CDG 27</w:t>
      </w:r>
      <w:r w:rsidRPr="001B6666">
        <w:rPr>
          <w:rFonts w:ascii="Garamond" w:hAnsi="Garamond"/>
          <w:sz w:val="22"/>
          <w:szCs w:val="22"/>
        </w:rPr>
        <w:t xml:space="preserve"> »,</w:t>
      </w:r>
    </w:p>
    <w:p w14:paraId="65EB7FB5" w14:textId="77777777" w:rsidR="00736A70" w:rsidRPr="001B6666" w:rsidRDefault="00736A70" w:rsidP="00D44CE5">
      <w:pPr>
        <w:spacing w:after="261" w:line="249" w:lineRule="auto"/>
        <w:ind w:right="86"/>
        <w:jc w:val="both"/>
        <w:rPr>
          <w:rFonts w:ascii="Garamond" w:hAnsi="Garamond"/>
          <w:sz w:val="22"/>
          <w:szCs w:val="22"/>
        </w:rPr>
      </w:pPr>
      <w:r w:rsidRPr="001B6666">
        <w:rPr>
          <w:rFonts w:ascii="Garamond" w:hAnsi="Garamond"/>
          <w:sz w:val="22"/>
          <w:szCs w:val="22"/>
        </w:rPr>
        <w:t>Et</w:t>
      </w:r>
    </w:p>
    <w:p w14:paraId="168F388B" w14:textId="77777777" w:rsidR="00736A70" w:rsidRPr="001B6666" w:rsidRDefault="00736A70" w:rsidP="00736A70">
      <w:pPr>
        <w:spacing w:after="229" w:line="248" w:lineRule="auto"/>
        <w:ind w:left="28" w:right="7" w:firstLine="4"/>
        <w:jc w:val="both"/>
        <w:rPr>
          <w:rFonts w:ascii="Garamond" w:hAnsi="Garamond"/>
          <w:sz w:val="22"/>
          <w:szCs w:val="22"/>
        </w:rPr>
      </w:pPr>
      <w:r>
        <w:rPr>
          <w:rFonts w:ascii="Garamond" w:hAnsi="Garamond"/>
          <w:sz w:val="22"/>
          <w:szCs w:val="22"/>
        </w:rPr>
        <w:t>La commune/ l’EPCI  ………………………………., sis…………………....................................., représenté par…………………., Maire/président, agissant en vertu de la délibération du …………………….. en date du……………………. ;</w:t>
      </w:r>
    </w:p>
    <w:p w14:paraId="0F78F4A8" w14:textId="77777777" w:rsidR="00736A70" w:rsidRPr="001B6666" w:rsidRDefault="00736A70" w:rsidP="00736A70">
      <w:pPr>
        <w:ind w:left="28" w:right="6" w:firstLine="6"/>
        <w:rPr>
          <w:rFonts w:ascii="Garamond" w:hAnsi="Garamond"/>
          <w:sz w:val="22"/>
          <w:szCs w:val="22"/>
        </w:rPr>
      </w:pPr>
      <w:r w:rsidRPr="001B6666">
        <w:rPr>
          <w:rFonts w:ascii="Garamond" w:hAnsi="Garamond"/>
          <w:sz w:val="22"/>
          <w:szCs w:val="22"/>
        </w:rPr>
        <w:t>Ci-après désigné par les termes «</w:t>
      </w:r>
      <w:r>
        <w:rPr>
          <w:rFonts w:ascii="Garamond" w:hAnsi="Garamond"/>
          <w:sz w:val="22"/>
          <w:szCs w:val="22"/>
        </w:rPr>
        <w:t xml:space="preserve"> le bénéficiaire</w:t>
      </w:r>
      <w:r w:rsidRPr="001B6666">
        <w:rPr>
          <w:rFonts w:ascii="Garamond" w:hAnsi="Garamond"/>
          <w:sz w:val="22"/>
          <w:szCs w:val="22"/>
        </w:rPr>
        <w:t xml:space="preserve"> »,</w:t>
      </w:r>
    </w:p>
    <w:p w14:paraId="2E4E8170" w14:textId="77777777" w:rsidR="00736A70" w:rsidRPr="001B6666" w:rsidRDefault="00736A70" w:rsidP="00736A70">
      <w:pPr>
        <w:spacing w:after="229" w:line="248" w:lineRule="auto"/>
        <w:ind w:left="28" w:right="7" w:firstLine="4"/>
        <w:rPr>
          <w:rFonts w:ascii="Garamond" w:hAnsi="Garamond"/>
          <w:sz w:val="22"/>
          <w:szCs w:val="22"/>
        </w:rPr>
      </w:pPr>
    </w:p>
    <w:p w14:paraId="14C86634" w14:textId="77777777" w:rsidR="00736A70" w:rsidRPr="001B6666" w:rsidRDefault="00736A70" w:rsidP="00736A70">
      <w:pPr>
        <w:spacing w:after="229" w:line="248" w:lineRule="auto"/>
        <w:ind w:left="28" w:right="7" w:firstLine="4"/>
        <w:rPr>
          <w:rFonts w:ascii="Garamond" w:hAnsi="Garamond"/>
          <w:sz w:val="22"/>
          <w:szCs w:val="22"/>
        </w:rPr>
      </w:pPr>
      <w:r w:rsidRPr="001B6666">
        <w:rPr>
          <w:rFonts w:ascii="Garamond" w:hAnsi="Garamond"/>
          <w:sz w:val="22"/>
          <w:szCs w:val="22"/>
        </w:rPr>
        <w:t>IL EST CONVENU CE QUI SUIT :</w:t>
      </w:r>
    </w:p>
    <w:p w14:paraId="67059B6D" w14:textId="4C2F72A7" w:rsidR="00736A70" w:rsidRPr="001B6666" w:rsidRDefault="002B3AEB" w:rsidP="00736A70">
      <w:pPr>
        <w:pBdr>
          <w:top w:val="single" w:sz="6" w:space="0" w:color="000000"/>
          <w:left w:val="single" w:sz="6" w:space="0" w:color="000000"/>
          <w:bottom w:val="single" w:sz="9" w:space="0" w:color="000000"/>
          <w:right w:val="single" w:sz="6" w:space="0" w:color="000000"/>
        </w:pBdr>
        <w:spacing w:after="580"/>
        <w:ind w:left="50"/>
        <w:jc w:val="center"/>
        <w:rPr>
          <w:rFonts w:ascii="Garamond" w:hAnsi="Garamond"/>
          <w:sz w:val="22"/>
          <w:szCs w:val="22"/>
        </w:rPr>
      </w:pPr>
      <w:r>
        <w:rPr>
          <w:rFonts w:ascii="Garamond" w:hAnsi="Garamond"/>
          <w:sz w:val="22"/>
          <w:szCs w:val="22"/>
        </w:rPr>
        <w:t>ARTICLE 1</w:t>
      </w:r>
      <w:r w:rsidR="00736A70" w:rsidRPr="001B6666">
        <w:rPr>
          <w:rFonts w:ascii="Garamond" w:hAnsi="Garamond"/>
          <w:sz w:val="22"/>
          <w:szCs w:val="22"/>
          <w:vertAlign w:val="superscript"/>
        </w:rPr>
        <w:t xml:space="preserve">ER </w:t>
      </w:r>
      <w:r w:rsidR="00736A70" w:rsidRPr="001B6666">
        <w:rPr>
          <w:rFonts w:ascii="Garamond" w:hAnsi="Garamond"/>
          <w:sz w:val="22"/>
          <w:szCs w:val="22"/>
        </w:rPr>
        <w:t>: OBJET DE LA CONVENTION</w:t>
      </w:r>
    </w:p>
    <w:p w14:paraId="5D2889D3" w14:textId="3FD6D679" w:rsidR="00736A70" w:rsidRDefault="00736A70" w:rsidP="00736A70">
      <w:pPr>
        <w:spacing w:line="248" w:lineRule="auto"/>
        <w:ind w:left="28" w:right="7" w:firstLine="4"/>
        <w:jc w:val="both"/>
        <w:rPr>
          <w:rFonts w:ascii="Garamond" w:hAnsi="Garamond"/>
          <w:sz w:val="22"/>
          <w:szCs w:val="22"/>
        </w:rPr>
      </w:pPr>
      <w:r w:rsidRPr="001B6666">
        <w:rPr>
          <w:rFonts w:ascii="Garamond" w:hAnsi="Garamond"/>
          <w:sz w:val="22"/>
          <w:szCs w:val="22"/>
        </w:rPr>
        <w:t>La présente convention a pour objet de déf</w:t>
      </w:r>
      <w:r>
        <w:rPr>
          <w:rFonts w:ascii="Garamond" w:hAnsi="Garamond"/>
          <w:sz w:val="22"/>
          <w:szCs w:val="22"/>
        </w:rPr>
        <w:t>inir les conditions générales de mise à disposition du référent Signalement du CDG 27 auprès des collectivités et EPCI du département de l’Eure, affiliés ou non affilés, en faisant la demande.</w:t>
      </w:r>
    </w:p>
    <w:p w14:paraId="2FEEB9F2" w14:textId="29464411" w:rsidR="00504B94" w:rsidRDefault="00504B94" w:rsidP="00736A70">
      <w:pPr>
        <w:spacing w:line="248" w:lineRule="auto"/>
        <w:ind w:left="28" w:right="7" w:firstLine="4"/>
        <w:jc w:val="both"/>
        <w:rPr>
          <w:rFonts w:ascii="Garamond" w:hAnsi="Garamond"/>
          <w:sz w:val="22"/>
          <w:szCs w:val="22"/>
        </w:rPr>
      </w:pPr>
    </w:p>
    <w:p w14:paraId="07AE18D2" w14:textId="77777777" w:rsidR="00504B94" w:rsidRDefault="00504B94" w:rsidP="00736A70">
      <w:pPr>
        <w:spacing w:line="248" w:lineRule="auto"/>
        <w:ind w:left="28" w:right="7" w:firstLine="4"/>
        <w:jc w:val="both"/>
        <w:rPr>
          <w:rFonts w:ascii="Garamond" w:hAnsi="Garamond"/>
          <w:sz w:val="22"/>
          <w:szCs w:val="22"/>
        </w:rPr>
      </w:pPr>
    </w:p>
    <w:p w14:paraId="773C4CB3" w14:textId="77777777" w:rsidR="00736A70" w:rsidRPr="001B6666" w:rsidRDefault="00736A70" w:rsidP="00736A70">
      <w:pPr>
        <w:spacing w:line="248" w:lineRule="auto"/>
        <w:ind w:left="28" w:right="7" w:firstLine="4"/>
        <w:rPr>
          <w:rFonts w:ascii="Garamond" w:hAnsi="Garamond"/>
          <w:sz w:val="22"/>
          <w:szCs w:val="22"/>
        </w:rPr>
      </w:pPr>
    </w:p>
    <w:p w14:paraId="5F576231" w14:textId="77777777" w:rsidR="00736A70" w:rsidRPr="001B6666" w:rsidRDefault="00736A70" w:rsidP="00736A70">
      <w:pPr>
        <w:pBdr>
          <w:top w:val="single" w:sz="6" w:space="0" w:color="000000"/>
          <w:left w:val="single" w:sz="6" w:space="0" w:color="000000"/>
          <w:bottom w:val="single" w:sz="6" w:space="0" w:color="000000"/>
          <w:right w:val="single" w:sz="6" w:space="0" w:color="000000"/>
        </w:pBdr>
        <w:spacing w:after="320" w:line="269" w:lineRule="auto"/>
        <w:ind w:left="39" w:right="14" w:hanging="10"/>
        <w:jc w:val="center"/>
        <w:rPr>
          <w:rFonts w:ascii="Garamond" w:hAnsi="Garamond"/>
          <w:sz w:val="22"/>
          <w:szCs w:val="22"/>
        </w:rPr>
      </w:pPr>
      <w:r w:rsidRPr="001B6666">
        <w:rPr>
          <w:rFonts w:ascii="Garamond" w:hAnsi="Garamond"/>
          <w:sz w:val="22"/>
          <w:szCs w:val="22"/>
        </w:rPr>
        <w:t>ARTICLE 2 : DOMAINE D'APPLICATION</w:t>
      </w:r>
    </w:p>
    <w:p w14:paraId="365ED2AF" w14:textId="5F4A0F14"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Toutes les collectivités et leurs établissements sont concernés par l'obligation de mise en œuvre du disposi</w:t>
      </w:r>
      <w:r w:rsidR="000B5B98">
        <w:rPr>
          <w:rFonts w:ascii="Garamond" w:hAnsi="Garamond"/>
          <w:sz w:val="22"/>
          <w:szCs w:val="22"/>
        </w:rPr>
        <w:t>tif de signalement, depuis le 1</w:t>
      </w:r>
      <w:r w:rsidRPr="001B6666">
        <w:rPr>
          <w:rFonts w:ascii="Garamond" w:hAnsi="Garamond"/>
          <w:sz w:val="22"/>
          <w:szCs w:val="22"/>
          <w:vertAlign w:val="superscript"/>
        </w:rPr>
        <w:t xml:space="preserve">er </w:t>
      </w:r>
      <w:r w:rsidR="00CA2002">
        <w:rPr>
          <w:rFonts w:ascii="Garamond" w:hAnsi="Garamond"/>
          <w:sz w:val="22"/>
          <w:szCs w:val="22"/>
        </w:rPr>
        <w:t>M</w:t>
      </w:r>
      <w:r w:rsidRPr="001B6666">
        <w:rPr>
          <w:rFonts w:ascii="Garamond" w:hAnsi="Garamond"/>
          <w:sz w:val="22"/>
          <w:szCs w:val="22"/>
        </w:rPr>
        <w:t>ai 2020.</w:t>
      </w:r>
    </w:p>
    <w:p w14:paraId="6EC55817" w14:textId="77777777" w:rsidR="00736A70" w:rsidRPr="001B6666" w:rsidRDefault="00736A70" w:rsidP="00736A70">
      <w:pPr>
        <w:spacing w:after="174" w:line="248" w:lineRule="auto"/>
        <w:ind w:left="28" w:right="7" w:firstLine="4"/>
        <w:rPr>
          <w:rFonts w:ascii="Garamond" w:hAnsi="Garamond"/>
          <w:sz w:val="22"/>
          <w:szCs w:val="22"/>
        </w:rPr>
      </w:pPr>
      <w:r w:rsidRPr="001B6666">
        <w:rPr>
          <w:rFonts w:ascii="Garamond" w:hAnsi="Garamond"/>
          <w:sz w:val="22"/>
          <w:szCs w:val="22"/>
        </w:rPr>
        <w:t>Le dispositif doit s'articuler autour de trois procédures :</w:t>
      </w:r>
    </w:p>
    <w:p w14:paraId="23D1665D" w14:textId="77777777" w:rsidR="00736A70" w:rsidRPr="001B6666" w:rsidRDefault="00736A70" w:rsidP="00736A70">
      <w:pPr>
        <w:numPr>
          <w:ilvl w:val="0"/>
          <w:numId w:val="2"/>
        </w:numPr>
        <w:spacing w:line="248" w:lineRule="auto"/>
        <w:ind w:right="7"/>
        <w:jc w:val="both"/>
        <w:rPr>
          <w:rFonts w:ascii="Garamond" w:hAnsi="Garamond"/>
          <w:sz w:val="22"/>
          <w:szCs w:val="22"/>
        </w:rPr>
      </w:pPr>
      <w:r w:rsidRPr="001B6666">
        <w:rPr>
          <w:rFonts w:ascii="Garamond" w:hAnsi="Garamond"/>
          <w:sz w:val="22"/>
          <w:szCs w:val="22"/>
        </w:rPr>
        <w:t>Une procédure de recueil des signalements effectués par les agents s'estimant victimes ou témoins d'actes de violence, de discrimination, de harcèlement moral ou sexuel ou d'agissements sexistes</w:t>
      </w:r>
    </w:p>
    <w:p w14:paraId="3350C8F0" w14:textId="77777777" w:rsidR="00736A70" w:rsidRPr="001B6666" w:rsidRDefault="00736A70" w:rsidP="00736A70">
      <w:pPr>
        <w:numPr>
          <w:ilvl w:val="0"/>
          <w:numId w:val="2"/>
        </w:numPr>
        <w:spacing w:line="248" w:lineRule="auto"/>
        <w:ind w:right="7"/>
        <w:jc w:val="both"/>
        <w:rPr>
          <w:rFonts w:ascii="Garamond" w:hAnsi="Garamond"/>
          <w:sz w:val="22"/>
          <w:szCs w:val="22"/>
        </w:rPr>
      </w:pPr>
      <w:r w:rsidRPr="001B6666">
        <w:rPr>
          <w:rFonts w:ascii="Garamond" w:hAnsi="Garamond"/>
          <w:sz w:val="22"/>
          <w:szCs w:val="22"/>
        </w:rPr>
        <w:t xml:space="preserve">Une procédure d'orientation des agents s'estimant victimes de tels actes ou agissements vers les services et </w:t>
      </w:r>
      <w:r w:rsidRPr="00FF4AC9">
        <w:rPr>
          <w:rFonts w:ascii="Garamond" w:hAnsi="Garamond"/>
          <w:noProof/>
          <w:sz w:val="22"/>
          <w:szCs w:val="22"/>
        </w:rPr>
        <w:drawing>
          <wp:inline distT="0" distB="0" distL="0" distR="0" wp14:anchorId="475E22C8" wp14:editId="016930EC">
            <wp:extent cx="6985" cy="69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B6666">
        <w:rPr>
          <w:rFonts w:ascii="Garamond" w:hAnsi="Garamond"/>
          <w:sz w:val="22"/>
          <w:szCs w:val="22"/>
        </w:rPr>
        <w:t>professionnels compétents chargés de leur accompagnement et de leur soutien</w:t>
      </w:r>
    </w:p>
    <w:p w14:paraId="3D398025" w14:textId="77777777" w:rsidR="00736A70" w:rsidRPr="001B6666" w:rsidRDefault="00736A70" w:rsidP="00736A70">
      <w:pPr>
        <w:numPr>
          <w:ilvl w:val="0"/>
          <w:numId w:val="2"/>
        </w:numPr>
        <w:spacing w:after="229" w:line="248" w:lineRule="auto"/>
        <w:ind w:right="7"/>
        <w:jc w:val="both"/>
        <w:rPr>
          <w:rFonts w:ascii="Garamond" w:hAnsi="Garamond"/>
          <w:sz w:val="22"/>
          <w:szCs w:val="22"/>
        </w:rPr>
      </w:pPr>
      <w:r w:rsidRPr="001B6666">
        <w:rPr>
          <w:rFonts w:ascii="Garamond" w:hAnsi="Garamond"/>
          <w:sz w:val="22"/>
          <w:szCs w:val="22"/>
        </w:rPr>
        <w:t>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61F5E6ED"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Le référent signalement est tenu dans l'exercice de ses missions au secret et à la discrétion professionnels.</w:t>
      </w:r>
    </w:p>
    <w:p w14:paraId="31A909FC"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Le Centre de Gestion met en place le dispositif pour le compte des collectivités territoriales et de leurs</w:t>
      </w:r>
      <w:r>
        <w:rPr>
          <w:rFonts w:ascii="Garamond" w:hAnsi="Garamond"/>
          <w:sz w:val="22"/>
          <w:szCs w:val="22"/>
        </w:rPr>
        <w:t xml:space="preserve"> établissements publics affiliés et non affilié</w:t>
      </w:r>
      <w:r w:rsidRPr="001B6666">
        <w:rPr>
          <w:rFonts w:ascii="Garamond" w:hAnsi="Garamond"/>
          <w:sz w:val="22"/>
          <w:szCs w:val="22"/>
        </w:rPr>
        <w:t>s qui en feront la demande.</w:t>
      </w:r>
    </w:p>
    <w:p w14:paraId="3CF0D400"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La convention permet ainsi aux agents des collectivités du ressort du CdG 27 de saisir le(s) référent(s) désigné(s) expressément par le Président du CdG 27.</w:t>
      </w:r>
    </w:p>
    <w:p w14:paraId="7E01DA77" w14:textId="77777777" w:rsidR="00736A70" w:rsidRPr="007C3ABE" w:rsidRDefault="00736A70" w:rsidP="00736A70">
      <w:pPr>
        <w:spacing w:after="229" w:line="248" w:lineRule="auto"/>
        <w:ind w:left="28" w:right="7" w:firstLine="4"/>
        <w:rPr>
          <w:rFonts w:ascii="Garamond" w:hAnsi="Garamond"/>
          <w:b/>
          <w:sz w:val="22"/>
          <w:szCs w:val="22"/>
        </w:rPr>
      </w:pPr>
      <w:r w:rsidRPr="007C3ABE">
        <w:rPr>
          <w:rFonts w:ascii="Garamond" w:hAnsi="Garamond"/>
          <w:b/>
          <w:sz w:val="22"/>
          <w:szCs w:val="22"/>
        </w:rPr>
        <w:t>Dans ce cadre, il appartient au CdG 27 de conventionner avec les collectivités affiliées et non affiliées de son ressort.</w:t>
      </w:r>
    </w:p>
    <w:p w14:paraId="2826F899" w14:textId="77777777" w:rsidR="00736A70" w:rsidRPr="001B6666" w:rsidRDefault="00736A70" w:rsidP="00736A70">
      <w:pPr>
        <w:pBdr>
          <w:top w:val="single" w:sz="6" w:space="0" w:color="000000"/>
          <w:left w:val="single" w:sz="9" w:space="0" w:color="000000"/>
          <w:bottom w:val="single" w:sz="9" w:space="0" w:color="000000"/>
          <w:right w:val="single" w:sz="6" w:space="0" w:color="000000"/>
        </w:pBdr>
        <w:spacing w:after="329"/>
        <w:ind w:left="58"/>
        <w:jc w:val="center"/>
        <w:rPr>
          <w:rFonts w:ascii="Garamond" w:hAnsi="Garamond"/>
          <w:sz w:val="22"/>
          <w:szCs w:val="22"/>
        </w:rPr>
      </w:pPr>
      <w:r w:rsidRPr="001B6666">
        <w:rPr>
          <w:rFonts w:ascii="Garamond" w:hAnsi="Garamond"/>
          <w:sz w:val="22"/>
          <w:szCs w:val="22"/>
        </w:rPr>
        <w:t>ARTICLE 3 : CONTENU DE LA MISE A DISPOSITION DU REFERENT SIGNALEMENT</w:t>
      </w:r>
    </w:p>
    <w:p w14:paraId="7A1BD8AD" w14:textId="77777777" w:rsidR="00736A70" w:rsidRPr="001B6666" w:rsidRDefault="00736A70" w:rsidP="00736A70">
      <w:pPr>
        <w:spacing w:after="12" w:line="248" w:lineRule="auto"/>
        <w:ind w:left="439" w:right="7" w:firstLine="4"/>
        <w:rPr>
          <w:rFonts w:ascii="Garamond" w:hAnsi="Garamond"/>
          <w:sz w:val="22"/>
          <w:szCs w:val="22"/>
        </w:rPr>
      </w:pPr>
      <w:r>
        <w:rPr>
          <w:rFonts w:ascii="Garamond" w:hAnsi="Garamond"/>
          <w:sz w:val="22"/>
          <w:szCs w:val="22"/>
        </w:rPr>
        <w:t>1</w:t>
      </w:r>
      <w:r w:rsidRPr="001B6666">
        <w:rPr>
          <w:rFonts w:ascii="Garamond" w:hAnsi="Garamond"/>
          <w:sz w:val="22"/>
          <w:szCs w:val="22"/>
        </w:rPr>
        <w:t>. Le dépôt du signalement</w:t>
      </w:r>
    </w:p>
    <w:p w14:paraId="19544F8C" w14:textId="77777777" w:rsidR="00736A70" w:rsidRDefault="00736A70" w:rsidP="00736A70">
      <w:pPr>
        <w:ind w:left="28" w:right="6" w:firstLine="6"/>
        <w:rPr>
          <w:rFonts w:ascii="Garamond" w:hAnsi="Garamond"/>
          <w:sz w:val="22"/>
          <w:szCs w:val="22"/>
        </w:rPr>
      </w:pPr>
    </w:p>
    <w:p w14:paraId="527C7A83" w14:textId="77777777" w:rsidR="00736A70" w:rsidRDefault="00736A70" w:rsidP="00736A70">
      <w:pPr>
        <w:ind w:left="28" w:right="6" w:firstLine="6"/>
        <w:jc w:val="both"/>
        <w:rPr>
          <w:rFonts w:ascii="Garamond" w:hAnsi="Garamond"/>
          <w:sz w:val="22"/>
          <w:szCs w:val="22"/>
        </w:rPr>
      </w:pPr>
      <w:r w:rsidRPr="001B6666">
        <w:rPr>
          <w:rFonts w:ascii="Garamond" w:hAnsi="Garamond"/>
          <w:sz w:val="22"/>
          <w:szCs w:val="22"/>
        </w:rPr>
        <w:t>Afin de respecter les exigences légales et réglementaires, le dépôt ne peut avoir lieu que par l'intermédiaire d'un formulaire écrit dont le contenu est consultable uniquement par le seul référent signalement.</w:t>
      </w:r>
    </w:p>
    <w:p w14:paraId="0C74C677" w14:textId="77777777" w:rsidR="00736A70" w:rsidRPr="001B6666" w:rsidRDefault="00736A70" w:rsidP="00736A70">
      <w:pPr>
        <w:ind w:left="28" w:right="6" w:firstLine="6"/>
        <w:jc w:val="both"/>
        <w:rPr>
          <w:rFonts w:ascii="Garamond" w:hAnsi="Garamond"/>
          <w:sz w:val="22"/>
          <w:szCs w:val="22"/>
        </w:rPr>
      </w:pPr>
    </w:p>
    <w:p w14:paraId="76EE72A8" w14:textId="77777777" w:rsidR="00736A70" w:rsidRPr="001B6666" w:rsidRDefault="00736A70" w:rsidP="00736A70">
      <w:pPr>
        <w:numPr>
          <w:ilvl w:val="0"/>
          <w:numId w:val="3"/>
        </w:numPr>
        <w:spacing w:after="229" w:line="248" w:lineRule="auto"/>
        <w:ind w:left="774" w:right="7" w:hanging="360"/>
        <w:jc w:val="both"/>
        <w:rPr>
          <w:rFonts w:ascii="Garamond" w:hAnsi="Garamond"/>
          <w:sz w:val="22"/>
          <w:szCs w:val="22"/>
        </w:rPr>
      </w:pPr>
      <w:r w:rsidRPr="001B6666">
        <w:rPr>
          <w:rFonts w:ascii="Garamond" w:hAnsi="Garamond"/>
          <w:sz w:val="22"/>
          <w:szCs w:val="22"/>
        </w:rPr>
        <w:t>Le recueil du signalement</w:t>
      </w:r>
    </w:p>
    <w:p w14:paraId="34B19669"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Le référent signalement accuse réception et indique à l'auteur qu'il sera informé des suites données par écrit dans un délai maximal de 2 mois.</w:t>
      </w:r>
    </w:p>
    <w:p w14:paraId="1BE40BE5"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En cas de formulaire incomplet, le référent signalement accuse réception mais alerte sur le caractère incomplet du formulaire. Il identifie les champs manquants et invite l'auteur à les compléter le plus rapidement possible.</w:t>
      </w:r>
    </w:p>
    <w:p w14:paraId="16A90A30"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Un échange avec l'auteur du signalement est toujours possible en cas de besoin.</w:t>
      </w:r>
    </w:p>
    <w:p w14:paraId="6DF89D8A" w14:textId="77777777" w:rsidR="00736A70" w:rsidRPr="001B6666" w:rsidRDefault="00736A70" w:rsidP="00736A70">
      <w:pPr>
        <w:numPr>
          <w:ilvl w:val="0"/>
          <w:numId w:val="3"/>
        </w:numPr>
        <w:spacing w:after="229" w:line="248" w:lineRule="auto"/>
        <w:ind w:left="774" w:right="7" w:hanging="360"/>
        <w:jc w:val="both"/>
        <w:rPr>
          <w:rFonts w:ascii="Garamond" w:hAnsi="Garamond"/>
          <w:sz w:val="22"/>
          <w:szCs w:val="22"/>
        </w:rPr>
      </w:pPr>
      <w:r w:rsidRPr="001B6666">
        <w:rPr>
          <w:rFonts w:ascii="Garamond" w:hAnsi="Garamond"/>
          <w:sz w:val="22"/>
          <w:szCs w:val="22"/>
        </w:rPr>
        <w:t>Le traitement du signalement</w:t>
      </w:r>
    </w:p>
    <w:p w14:paraId="75C0A99F" w14:textId="77777777" w:rsidR="00736A70" w:rsidRPr="001B6666" w:rsidRDefault="00736A70" w:rsidP="00736A70">
      <w:pPr>
        <w:spacing w:after="254" w:line="248" w:lineRule="auto"/>
        <w:ind w:left="28" w:right="7" w:firstLine="4"/>
        <w:jc w:val="both"/>
        <w:rPr>
          <w:rFonts w:ascii="Garamond" w:hAnsi="Garamond"/>
          <w:sz w:val="22"/>
          <w:szCs w:val="22"/>
        </w:rPr>
      </w:pPr>
      <w:r w:rsidRPr="001B6666">
        <w:rPr>
          <w:rFonts w:ascii="Garamond" w:hAnsi="Garamond"/>
          <w:sz w:val="22"/>
          <w:szCs w:val="22"/>
        </w:rPr>
        <w:t xml:space="preserve">Le rôle du référent signalement est d'orienter l'auteur du signalement notamment vers les services et professionnels chargés de son accompagnement et de son soutien (médecin de prévention, psychologue du travail, assistante sociale, défenseur de droits, associations de soutien ...). Il transmet également le </w:t>
      </w:r>
      <w:r w:rsidRPr="001B6666">
        <w:rPr>
          <w:rFonts w:ascii="Garamond" w:hAnsi="Garamond"/>
          <w:sz w:val="22"/>
          <w:szCs w:val="22"/>
        </w:rPr>
        <w:lastRenderedPageBreak/>
        <w:t>signalement à l'Autorité Territoriale pour qu'elle prenne toutes les mesures nécessaires à la protection du ou des agent(s) concerné(s).</w:t>
      </w:r>
    </w:p>
    <w:p w14:paraId="7B382794"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 xml:space="preserve">Conformément à l'article 40 du Code de procédure pénale, il transmet le signalement au procureur dès lors </w:t>
      </w:r>
      <w:r w:rsidRPr="00FF4AC9">
        <w:rPr>
          <w:rFonts w:ascii="Garamond" w:hAnsi="Garamond"/>
          <w:noProof/>
          <w:sz w:val="22"/>
          <w:szCs w:val="22"/>
        </w:rPr>
        <w:drawing>
          <wp:inline distT="0" distB="0" distL="0" distR="0" wp14:anchorId="3B866E2E" wp14:editId="2F3DA724">
            <wp:extent cx="6985" cy="69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B6666">
        <w:rPr>
          <w:rFonts w:ascii="Garamond" w:hAnsi="Garamond"/>
          <w:sz w:val="22"/>
          <w:szCs w:val="22"/>
        </w:rPr>
        <w:t>qu'il acquiert la connaissance d'un délit.</w:t>
      </w:r>
    </w:p>
    <w:p w14:paraId="34534B7B" w14:textId="77777777" w:rsidR="00736A70" w:rsidRPr="001B6666" w:rsidRDefault="00736A70" w:rsidP="00736A70">
      <w:pPr>
        <w:spacing w:after="175" w:line="248" w:lineRule="auto"/>
        <w:ind w:left="28" w:right="7" w:firstLine="4"/>
        <w:jc w:val="both"/>
        <w:rPr>
          <w:rFonts w:ascii="Garamond" w:hAnsi="Garamond"/>
          <w:sz w:val="22"/>
          <w:szCs w:val="22"/>
        </w:rPr>
      </w:pPr>
      <w:r w:rsidRPr="001B6666">
        <w:rPr>
          <w:rFonts w:ascii="Garamond" w:hAnsi="Garamond"/>
          <w:sz w:val="22"/>
          <w:szCs w:val="22"/>
        </w:rPr>
        <w:t>Afin d'accompagner l'agent et l'employeur, le référent signalement pourra :</w:t>
      </w:r>
    </w:p>
    <w:p w14:paraId="7A838B1E" w14:textId="77777777" w:rsidR="00736A70" w:rsidRPr="001B6666" w:rsidRDefault="00736A70" w:rsidP="00736A70">
      <w:pPr>
        <w:spacing w:line="248" w:lineRule="auto"/>
        <w:ind w:left="28" w:right="7" w:firstLine="4"/>
        <w:jc w:val="both"/>
        <w:rPr>
          <w:rFonts w:ascii="Garamond" w:hAnsi="Garamond"/>
          <w:sz w:val="22"/>
          <w:szCs w:val="22"/>
        </w:rPr>
      </w:pPr>
      <w:r w:rsidRPr="001B6666">
        <w:rPr>
          <w:rFonts w:ascii="Garamond" w:hAnsi="Garamond"/>
          <w:sz w:val="22"/>
          <w:szCs w:val="22"/>
        </w:rPr>
        <w:t>-</w:t>
      </w:r>
      <w:r>
        <w:rPr>
          <w:rFonts w:ascii="Garamond" w:hAnsi="Garamond"/>
          <w:sz w:val="22"/>
          <w:szCs w:val="22"/>
        </w:rPr>
        <w:t xml:space="preserve"> </w:t>
      </w:r>
      <w:r w:rsidRPr="001B6666">
        <w:rPr>
          <w:rFonts w:ascii="Garamond" w:hAnsi="Garamond"/>
          <w:sz w:val="22"/>
          <w:szCs w:val="22"/>
        </w:rPr>
        <w:t>S'enquérir de la situation de l'agent directement auprès de lui ou des services et professionnels concernés, avec son accord</w:t>
      </w:r>
    </w:p>
    <w:p w14:paraId="237CEB25" w14:textId="77777777" w:rsidR="00736A70" w:rsidRDefault="00736A70" w:rsidP="00736A70">
      <w:pPr>
        <w:ind w:left="28" w:right="6" w:firstLine="6"/>
        <w:jc w:val="both"/>
        <w:rPr>
          <w:rFonts w:ascii="Garamond" w:hAnsi="Garamond"/>
          <w:sz w:val="22"/>
          <w:szCs w:val="22"/>
        </w:rPr>
      </w:pPr>
      <w:r w:rsidRPr="001B6666">
        <w:rPr>
          <w:rFonts w:ascii="Garamond" w:hAnsi="Garamond"/>
          <w:sz w:val="22"/>
          <w:szCs w:val="22"/>
        </w:rPr>
        <w:t>-</w:t>
      </w:r>
      <w:r>
        <w:rPr>
          <w:rFonts w:ascii="Garamond" w:hAnsi="Garamond"/>
          <w:sz w:val="22"/>
          <w:szCs w:val="22"/>
        </w:rPr>
        <w:t xml:space="preserve"> </w:t>
      </w:r>
      <w:r w:rsidRPr="001B6666">
        <w:rPr>
          <w:rFonts w:ascii="Garamond" w:hAnsi="Garamond"/>
          <w:sz w:val="22"/>
          <w:szCs w:val="22"/>
        </w:rPr>
        <w:t>Proposer une enquête administrative et être tenu informé de ses résultats et des mesures de protection retenues</w:t>
      </w:r>
    </w:p>
    <w:p w14:paraId="0A55BDFD" w14:textId="77777777" w:rsidR="00736A70" w:rsidRPr="001B6666" w:rsidRDefault="00736A70" w:rsidP="00736A70">
      <w:pPr>
        <w:ind w:left="28" w:right="6" w:firstLine="6"/>
        <w:rPr>
          <w:rFonts w:ascii="Garamond" w:hAnsi="Garamond"/>
          <w:sz w:val="22"/>
          <w:szCs w:val="22"/>
        </w:rPr>
      </w:pPr>
    </w:p>
    <w:p w14:paraId="16665AB2" w14:textId="77777777" w:rsidR="00736A70" w:rsidRPr="001B6666" w:rsidRDefault="00736A70" w:rsidP="00736A70">
      <w:pPr>
        <w:pBdr>
          <w:top w:val="single" w:sz="6" w:space="0" w:color="000000"/>
          <w:left w:val="single" w:sz="6" w:space="0" w:color="000000"/>
          <w:bottom w:val="single" w:sz="6" w:space="0" w:color="000000"/>
          <w:right w:val="single" w:sz="6" w:space="0" w:color="000000"/>
        </w:pBdr>
        <w:spacing w:after="320" w:line="269" w:lineRule="auto"/>
        <w:ind w:left="39" w:right="86" w:hanging="10"/>
        <w:jc w:val="center"/>
        <w:rPr>
          <w:rFonts w:ascii="Garamond" w:hAnsi="Garamond"/>
          <w:sz w:val="22"/>
          <w:szCs w:val="22"/>
        </w:rPr>
      </w:pPr>
      <w:r w:rsidRPr="001B6666">
        <w:rPr>
          <w:rFonts w:ascii="Garamond" w:hAnsi="Garamond"/>
          <w:sz w:val="22"/>
          <w:szCs w:val="22"/>
        </w:rPr>
        <w:t>ARTICLE 4 : LIMITES ET CONDITIONS D'EXERCICE DE LA MISE A DISPOSITION DU REFERENT SIGNALEMENT</w:t>
      </w:r>
    </w:p>
    <w:p w14:paraId="6FB21296" w14:textId="77777777" w:rsidR="00736A70" w:rsidRPr="007C3ABE" w:rsidRDefault="00736A70" w:rsidP="00736A70">
      <w:pPr>
        <w:pStyle w:val="Titre2"/>
        <w:ind w:left="2"/>
        <w:rPr>
          <w:rFonts w:ascii="Garamond" w:hAnsi="Garamond"/>
          <w:sz w:val="22"/>
          <w:szCs w:val="22"/>
        </w:rPr>
      </w:pPr>
      <w:r w:rsidRPr="007C3ABE">
        <w:rPr>
          <w:rFonts w:ascii="Garamond" w:hAnsi="Garamond"/>
          <w:sz w:val="22"/>
          <w:szCs w:val="22"/>
        </w:rPr>
        <w:t>Article 4-1. Obligations du CdG 27</w:t>
      </w:r>
    </w:p>
    <w:p w14:paraId="1D7FFFFA" w14:textId="77777777" w:rsidR="00736A70" w:rsidRDefault="00736A70" w:rsidP="00736A70">
      <w:pPr>
        <w:ind w:left="28" w:right="6" w:firstLine="6"/>
        <w:rPr>
          <w:rFonts w:ascii="Garamond" w:hAnsi="Garamond"/>
          <w:sz w:val="22"/>
          <w:szCs w:val="22"/>
        </w:rPr>
      </w:pPr>
    </w:p>
    <w:p w14:paraId="528BDA7C" w14:textId="77777777" w:rsidR="00736A70" w:rsidRPr="001B6666" w:rsidRDefault="00736A70" w:rsidP="00736A70">
      <w:pPr>
        <w:spacing w:after="229" w:line="248" w:lineRule="auto"/>
        <w:ind w:left="28" w:right="7" w:firstLine="4"/>
        <w:jc w:val="both"/>
        <w:rPr>
          <w:rFonts w:ascii="Garamond" w:hAnsi="Garamond"/>
          <w:sz w:val="22"/>
          <w:szCs w:val="22"/>
        </w:rPr>
      </w:pPr>
      <w:r w:rsidRPr="001B6666">
        <w:rPr>
          <w:rFonts w:ascii="Garamond" w:hAnsi="Garamond"/>
          <w:sz w:val="22"/>
          <w:szCs w:val="22"/>
        </w:rPr>
        <w:t>Le Président du CdG 27 désigne le</w:t>
      </w:r>
      <w:r>
        <w:rPr>
          <w:rFonts w:ascii="Garamond" w:hAnsi="Garamond"/>
          <w:sz w:val="22"/>
          <w:szCs w:val="22"/>
        </w:rPr>
        <w:t xml:space="preserve"> ou les référent(s) signalement.</w:t>
      </w:r>
    </w:p>
    <w:p w14:paraId="5A499785" w14:textId="77777777" w:rsidR="00736A70" w:rsidRPr="001B6666" w:rsidRDefault="00736A70" w:rsidP="00736A70">
      <w:pPr>
        <w:spacing w:after="252" w:line="248" w:lineRule="auto"/>
        <w:ind w:left="28" w:right="7" w:firstLine="4"/>
        <w:jc w:val="both"/>
        <w:rPr>
          <w:rFonts w:ascii="Garamond" w:hAnsi="Garamond"/>
          <w:sz w:val="22"/>
          <w:szCs w:val="22"/>
        </w:rPr>
      </w:pPr>
      <w:r w:rsidRPr="001B6666">
        <w:rPr>
          <w:rFonts w:ascii="Garamond" w:hAnsi="Garamond"/>
          <w:sz w:val="22"/>
          <w:szCs w:val="22"/>
        </w:rPr>
        <w:t>Le CdG 27 porte à la connaissance des collectivités de son ressort les modalités de saisine et de fonctionnement du ou des référent(s) signalement.</w:t>
      </w:r>
    </w:p>
    <w:p w14:paraId="5446A64D" w14:textId="77777777" w:rsidR="00736A70" w:rsidRDefault="00736A70" w:rsidP="00736A70">
      <w:pPr>
        <w:pStyle w:val="Titre2"/>
        <w:ind w:left="2"/>
        <w:jc w:val="both"/>
        <w:rPr>
          <w:rFonts w:ascii="Garamond" w:hAnsi="Garamond"/>
          <w:sz w:val="22"/>
          <w:szCs w:val="22"/>
        </w:rPr>
      </w:pPr>
      <w:r w:rsidRPr="007C3ABE">
        <w:rPr>
          <w:rFonts w:ascii="Garamond" w:hAnsi="Garamond"/>
          <w:sz w:val="22"/>
          <w:szCs w:val="22"/>
        </w:rPr>
        <w:t xml:space="preserve">Article 4-2. </w:t>
      </w:r>
      <w:r>
        <w:rPr>
          <w:rFonts w:ascii="Garamond" w:hAnsi="Garamond"/>
          <w:sz w:val="22"/>
          <w:szCs w:val="22"/>
        </w:rPr>
        <w:t>Obligations du bénéficiaire</w:t>
      </w:r>
    </w:p>
    <w:p w14:paraId="3566C1C6" w14:textId="77777777" w:rsidR="00736A70" w:rsidRDefault="00736A70" w:rsidP="00736A70">
      <w:pPr>
        <w:jc w:val="both"/>
        <w:rPr>
          <w:rFonts w:ascii="Garamond" w:hAnsi="Garamond"/>
          <w:sz w:val="22"/>
          <w:szCs w:val="22"/>
        </w:rPr>
      </w:pPr>
    </w:p>
    <w:p w14:paraId="42248EB0" w14:textId="77777777" w:rsidR="00736A70" w:rsidRDefault="00736A70" w:rsidP="00736A70">
      <w:pPr>
        <w:jc w:val="both"/>
        <w:rPr>
          <w:rFonts w:ascii="Garamond" w:hAnsi="Garamond"/>
          <w:sz w:val="22"/>
          <w:szCs w:val="22"/>
        </w:rPr>
      </w:pPr>
      <w:r w:rsidRPr="007650EF">
        <w:rPr>
          <w:rFonts w:ascii="Garamond" w:hAnsi="Garamond"/>
          <w:sz w:val="22"/>
          <w:szCs w:val="22"/>
        </w:rPr>
        <w:t>Chaque bénéficiaire devra informer les agents de son ressort de la désignation du référent Signalement et des modalités de saisine.</w:t>
      </w:r>
    </w:p>
    <w:p w14:paraId="0F82D3E7" w14:textId="77777777" w:rsidR="00736A70" w:rsidRPr="001B6666" w:rsidRDefault="00736A70" w:rsidP="00736A70">
      <w:pPr>
        <w:pStyle w:val="Titre2"/>
        <w:ind w:left="2"/>
        <w:rPr>
          <w:rFonts w:ascii="Garamond" w:hAnsi="Garamond"/>
          <w:sz w:val="22"/>
          <w:szCs w:val="22"/>
        </w:rPr>
      </w:pPr>
    </w:p>
    <w:p w14:paraId="2907EFDB" w14:textId="77777777" w:rsidR="00736A70" w:rsidRPr="001B6666" w:rsidRDefault="00736A70" w:rsidP="00736A70">
      <w:pPr>
        <w:pBdr>
          <w:top w:val="single" w:sz="6" w:space="0" w:color="000000"/>
          <w:left w:val="single" w:sz="6" w:space="0" w:color="000000"/>
          <w:bottom w:val="single" w:sz="6" w:space="0" w:color="000000"/>
          <w:right w:val="single" w:sz="6" w:space="0" w:color="000000"/>
        </w:pBdr>
        <w:spacing w:after="445" w:line="269" w:lineRule="auto"/>
        <w:ind w:left="39" w:hanging="10"/>
        <w:jc w:val="center"/>
        <w:rPr>
          <w:rFonts w:ascii="Garamond" w:hAnsi="Garamond"/>
          <w:sz w:val="22"/>
          <w:szCs w:val="22"/>
        </w:rPr>
      </w:pPr>
      <w:r w:rsidRPr="001B6666">
        <w:rPr>
          <w:rFonts w:ascii="Garamond" w:hAnsi="Garamond"/>
          <w:sz w:val="22"/>
          <w:szCs w:val="22"/>
        </w:rPr>
        <w:t>ARTICLE 5 : TARIFICATION DE LA MISE A DISPOSITION DU REFERENT SIGNALEMENT</w:t>
      </w:r>
    </w:p>
    <w:p w14:paraId="30895B1C" w14:textId="77777777" w:rsidR="00736A70" w:rsidRDefault="00736A70" w:rsidP="00736A70">
      <w:pPr>
        <w:spacing w:after="253" w:line="248" w:lineRule="auto"/>
        <w:ind w:left="28" w:right="7" w:firstLine="4"/>
        <w:jc w:val="both"/>
        <w:rPr>
          <w:rFonts w:ascii="Garamond" w:hAnsi="Garamond"/>
          <w:sz w:val="22"/>
          <w:szCs w:val="22"/>
        </w:rPr>
      </w:pPr>
      <w:r w:rsidRPr="001B6666">
        <w:rPr>
          <w:rFonts w:ascii="Garamond" w:hAnsi="Garamond"/>
          <w:sz w:val="22"/>
          <w:szCs w:val="22"/>
        </w:rPr>
        <w:t xml:space="preserve">La tarification servant de base à la facturation </w:t>
      </w:r>
      <w:r>
        <w:rPr>
          <w:rFonts w:ascii="Garamond" w:hAnsi="Garamond"/>
          <w:sz w:val="22"/>
          <w:szCs w:val="22"/>
        </w:rPr>
        <w:t>est fixée par le conseil d’administration du Centre de gestion de l’Eure</w:t>
      </w:r>
      <w:r>
        <w:rPr>
          <w:rStyle w:val="Appelnotedebasdep"/>
          <w:rFonts w:ascii="Garamond" w:hAnsi="Garamond"/>
          <w:sz w:val="22"/>
          <w:szCs w:val="22"/>
        </w:rPr>
        <w:footnoteReference w:id="1"/>
      </w:r>
      <w:r>
        <w:rPr>
          <w:rFonts w:ascii="Garamond" w:hAnsi="Garamond"/>
          <w:sz w:val="22"/>
          <w:szCs w:val="22"/>
        </w:rPr>
        <w:t xml:space="preserve"> et </w:t>
      </w:r>
      <w:r w:rsidRPr="001B6666">
        <w:rPr>
          <w:rFonts w:ascii="Garamond" w:hAnsi="Garamond"/>
          <w:sz w:val="22"/>
          <w:szCs w:val="22"/>
        </w:rPr>
        <w:t xml:space="preserve">pourra être </w:t>
      </w:r>
      <w:r>
        <w:rPr>
          <w:rFonts w:ascii="Garamond" w:hAnsi="Garamond"/>
          <w:sz w:val="22"/>
          <w:szCs w:val="22"/>
        </w:rPr>
        <w:t>réévaluée annuellement par ce dernier.</w:t>
      </w:r>
    </w:p>
    <w:p w14:paraId="2078FDA4" w14:textId="77777777" w:rsidR="00736A70" w:rsidRPr="001B6666" w:rsidRDefault="00736A70" w:rsidP="002B3AEB">
      <w:pPr>
        <w:pBdr>
          <w:top w:val="single" w:sz="4" w:space="1" w:color="auto"/>
          <w:left w:val="single" w:sz="4" w:space="4" w:color="auto"/>
          <w:bottom w:val="single" w:sz="4" w:space="1" w:color="auto"/>
          <w:right w:val="single" w:sz="4" w:space="4" w:color="auto"/>
        </w:pBdr>
        <w:spacing w:after="320" w:line="269" w:lineRule="auto"/>
        <w:ind w:left="39" w:right="101" w:hanging="10"/>
        <w:jc w:val="center"/>
        <w:rPr>
          <w:rFonts w:ascii="Garamond" w:hAnsi="Garamond"/>
          <w:sz w:val="22"/>
          <w:szCs w:val="22"/>
        </w:rPr>
      </w:pPr>
      <w:r w:rsidRPr="001B6666">
        <w:rPr>
          <w:rFonts w:ascii="Garamond" w:hAnsi="Garamond"/>
          <w:sz w:val="22"/>
          <w:szCs w:val="22"/>
        </w:rPr>
        <w:t>ARTICLE 6 : MODALITES DE FACTURATION</w:t>
      </w:r>
    </w:p>
    <w:p w14:paraId="5CA74675" w14:textId="77777777" w:rsidR="00736A70" w:rsidRDefault="00736A70" w:rsidP="00736A70">
      <w:pPr>
        <w:spacing w:after="229" w:line="248" w:lineRule="auto"/>
        <w:ind w:left="28" w:right="86" w:firstLine="4"/>
        <w:jc w:val="both"/>
        <w:rPr>
          <w:rFonts w:ascii="Garamond" w:hAnsi="Garamond"/>
          <w:sz w:val="22"/>
          <w:szCs w:val="22"/>
        </w:rPr>
      </w:pPr>
      <w:r w:rsidRPr="001B6666">
        <w:rPr>
          <w:rFonts w:ascii="Garamond" w:hAnsi="Garamond"/>
          <w:sz w:val="22"/>
          <w:szCs w:val="22"/>
        </w:rPr>
        <w:t xml:space="preserve">Le paiement est effectué à réception du titre </w:t>
      </w:r>
      <w:r>
        <w:rPr>
          <w:rFonts w:ascii="Garamond" w:hAnsi="Garamond"/>
          <w:sz w:val="22"/>
          <w:szCs w:val="22"/>
        </w:rPr>
        <w:t>de recettes établi par le CDG 27 et ce, conformément aux règles de comptabilité publique et du délai global de paiement</w:t>
      </w:r>
      <w:r>
        <w:rPr>
          <w:rStyle w:val="Appelnotedebasdep"/>
          <w:rFonts w:ascii="Garamond" w:hAnsi="Garamond"/>
          <w:sz w:val="22"/>
          <w:szCs w:val="22"/>
        </w:rPr>
        <w:footnoteReference w:id="2"/>
      </w:r>
      <w:r>
        <w:rPr>
          <w:rFonts w:ascii="Garamond" w:hAnsi="Garamond"/>
          <w:sz w:val="22"/>
          <w:szCs w:val="22"/>
        </w:rPr>
        <w:t>.</w:t>
      </w:r>
    </w:p>
    <w:p w14:paraId="1846D418" w14:textId="77777777" w:rsidR="00736A70" w:rsidRPr="001B6666" w:rsidRDefault="00736A70" w:rsidP="00736A70">
      <w:pPr>
        <w:pBdr>
          <w:top w:val="single" w:sz="6" w:space="0" w:color="000000"/>
          <w:left w:val="single" w:sz="6" w:space="0" w:color="000000"/>
          <w:bottom w:val="single" w:sz="9" w:space="0" w:color="000000"/>
          <w:right w:val="single" w:sz="6" w:space="0" w:color="000000"/>
        </w:pBdr>
        <w:spacing w:after="317"/>
        <w:ind w:left="7"/>
        <w:jc w:val="center"/>
        <w:rPr>
          <w:rFonts w:ascii="Garamond" w:hAnsi="Garamond"/>
          <w:sz w:val="22"/>
          <w:szCs w:val="22"/>
        </w:rPr>
      </w:pPr>
      <w:r w:rsidRPr="001B6666">
        <w:rPr>
          <w:rFonts w:ascii="Garamond" w:eastAsia="Calibri" w:hAnsi="Garamond" w:cs="Calibri"/>
          <w:sz w:val="22"/>
          <w:szCs w:val="22"/>
        </w:rPr>
        <w:t>ARTICLE 7 : DUREE ET RENOUVELLEMENT DE LA CONVENTION</w:t>
      </w:r>
    </w:p>
    <w:p w14:paraId="720FD1E5" w14:textId="7EFCC690" w:rsidR="002B3AEB" w:rsidRPr="002B3AEB" w:rsidRDefault="002B3AEB" w:rsidP="002B3AEB">
      <w:pPr>
        <w:jc w:val="both"/>
        <w:rPr>
          <w:rFonts w:ascii="Garamond" w:hAnsi="Garamond" w:cs="Arial"/>
          <w:sz w:val="22"/>
        </w:rPr>
      </w:pPr>
      <w:r w:rsidRPr="002B3AEB">
        <w:rPr>
          <w:rFonts w:ascii="Garamond" w:hAnsi="Garamond" w:cs="Arial"/>
          <w:sz w:val="22"/>
        </w:rPr>
        <w:t>La présente convention est valable entre le 1</w:t>
      </w:r>
      <w:r w:rsidRPr="002B3AEB">
        <w:rPr>
          <w:rFonts w:ascii="Garamond" w:hAnsi="Garamond" w:cs="Arial"/>
          <w:sz w:val="22"/>
          <w:vertAlign w:val="superscript"/>
        </w:rPr>
        <w:t>er</w:t>
      </w:r>
      <w:r w:rsidRPr="002B3AEB">
        <w:rPr>
          <w:rFonts w:ascii="Garamond" w:hAnsi="Garamond" w:cs="Arial"/>
          <w:sz w:val="22"/>
        </w:rPr>
        <w:t xml:space="preserve"> Septembre 2025 et le 31 Août 2029, soit une durée de 4 ans. </w:t>
      </w:r>
    </w:p>
    <w:p w14:paraId="63F427D7" w14:textId="77777777" w:rsidR="002B3AEB" w:rsidRPr="002B3AEB" w:rsidRDefault="002B3AEB" w:rsidP="002B3AEB">
      <w:pPr>
        <w:jc w:val="both"/>
        <w:rPr>
          <w:rFonts w:ascii="Garamond" w:hAnsi="Garamond" w:cs="Arial"/>
          <w:sz w:val="22"/>
        </w:rPr>
      </w:pPr>
      <w:r w:rsidRPr="002B3AEB">
        <w:rPr>
          <w:rFonts w:ascii="Garamond" w:hAnsi="Garamond" w:cs="Arial"/>
          <w:sz w:val="22"/>
        </w:rPr>
        <w:t xml:space="preserve">Toute adhésion peut intervenir pendant cette période, les termes de la présente convention s’appliquant à compter de sa signature par les parties. </w:t>
      </w:r>
    </w:p>
    <w:p w14:paraId="3FC2E252" w14:textId="77777777" w:rsidR="002B3AEB" w:rsidRPr="002B3AEB" w:rsidRDefault="002B3AEB" w:rsidP="002B3AEB">
      <w:pPr>
        <w:spacing w:after="187" w:line="265" w:lineRule="auto"/>
        <w:jc w:val="both"/>
        <w:rPr>
          <w:rFonts w:ascii="Garamond" w:hAnsi="Garamond" w:cs="Arial"/>
          <w:sz w:val="22"/>
        </w:rPr>
      </w:pPr>
      <w:r w:rsidRPr="002B3AEB">
        <w:rPr>
          <w:rFonts w:ascii="Garamond" w:hAnsi="Garamond" w:cs="Arial"/>
          <w:sz w:val="22"/>
        </w:rPr>
        <w:lastRenderedPageBreak/>
        <w:t xml:space="preserve">Elle annule et remplace toute convention antérieure. </w:t>
      </w:r>
    </w:p>
    <w:p w14:paraId="60A7C880" w14:textId="004059D5" w:rsidR="00736A70" w:rsidRPr="001B6666" w:rsidRDefault="00736A70" w:rsidP="002B3AEB">
      <w:pPr>
        <w:spacing w:after="187" w:line="265" w:lineRule="auto"/>
        <w:ind w:left="53" w:hanging="3"/>
        <w:jc w:val="both"/>
        <w:rPr>
          <w:rFonts w:ascii="Garamond" w:hAnsi="Garamond"/>
          <w:sz w:val="22"/>
          <w:szCs w:val="22"/>
        </w:rPr>
      </w:pPr>
      <w:r w:rsidRPr="001B6666">
        <w:rPr>
          <w:rFonts w:ascii="Garamond" w:eastAsia="Calibri" w:hAnsi="Garamond" w:cs="Calibri"/>
          <w:sz w:val="22"/>
          <w:szCs w:val="22"/>
        </w:rPr>
        <w:t>Hormis la résiliation à échéance, les cas de résiliation sont les suivants :</w:t>
      </w:r>
    </w:p>
    <w:p w14:paraId="1FC3B789" w14:textId="77777777" w:rsidR="00736A70" w:rsidRPr="001B6666" w:rsidRDefault="00736A70" w:rsidP="00736A70">
      <w:pPr>
        <w:spacing w:line="265" w:lineRule="auto"/>
        <w:ind w:left="769" w:hanging="201"/>
        <w:jc w:val="both"/>
        <w:rPr>
          <w:rFonts w:ascii="Garamond" w:hAnsi="Garamond"/>
          <w:sz w:val="22"/>
          <w:szCs w:val="22"/>
        </w:rPr>
      </w:pPr>
      <w:r w:rsidRPr="00FF4AC9">
        <w:rPr>
          <w:rFonts w:ascii="Garamond" w:hAnsi="Garamond"/>
          <w:noProof/>
          <w:sz w:val="22"/>
          <w:szCs w:val="22"/>
        </w:rPr>
        <w:drawing>
          <wp:inline distT="0" distB="0" distL="0" distR="0" wp14:anchorId="6B41D981" wp14:editId="58422A5D">
            <wp:extent cx="6985" cy="6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B6666">
        <w:rPr>
          <w:rFonts w:ascii="Garamond" w:eastAsia="Calibri" w:hAnsi="Garamond" w:cs="Calibri"/>
          <w:sz w:val="22"/>
          <w:szCs w:val="22"/>
        </w:rPr>
        <w:t xml:space="preserve"> </w:t>
      </w:r>
      <w:r>
        <w:rPr>
          <w:rFonts w:ascii="Garamond" w:eastAsia="Calibri" w:hAnsi="Garamond" w:cs="Calibri"/>
          <w:sz w:val="22"/>
          <w:szCs w:val="22"/>
        </w:rPr>
        <w:t xml:space="preserve">- </w:t>
      </w:r>
      <w:r w:rsidRPr="001B6666">
        <w:rPr>
          <w:rFonts w:ascii="Garamond" w:eastAsia="Calibri" w:hAnsi="Garamond" w:cs="Calibri"/>
          <w:sz w:val="22"/>
          <w:szCs w:val="22"/>
        </w:rPr>
        <w:t>En cas de manquement à l'une des obligations de la convention par l'une des parties, l'autre partie peut mettre fin à la présente convention.</w:t>
      </w:r>
    </w:p>
    <w:p w14:paraId="3264BEDD" w14:textId="77777777" w:rsidR="00736A70" w:rsidRPr="001B6666" w:rsidRDefault="00736A70" w:rsidP="00736A70">
      <w:pPr>
        <w:spacing w:after="220" w:line="265" w:lineRule="auto"/>
        <w:ind w:left="773" w:hanging="206"/>
        <w:jc w:val="both"/>
        <w:rPr>
          <w:rFonts w:ascii="Garamond" w:hAnsi="Garamond"/>
          <w:sz w:val="22"/>
          <w:szCs w:val="22"/>
        </w:rPr>
      </w:pPr>
      <w:r>
        <w:rPr>
          <w:rFonts w:ascii="Garamond" w:eastAsia="Calibri" w:hAnsi="Garamond" w:cs="Calibri"/>
          <w:sz w:val="22"/>
          <w:szCs w:val="22"/>
        </w:rPr>
        <w:t>- En cas de manquement au règlement des factures et titres de recettes afférents, par le bénéficiaire et ce, après une seule relance demeurée infructueuse dans un délai de J+30 jours calendaires, J étant la date de réception de ladite relance. Ladite résiliation n’exonère pas le bénéficiaire de l’obligation de régler les factures présentées et ce, conformément aux règles de comptabilité publique.</w:t>
      </w:r>
    </w:p>
    <w:p w14:paraId="5DFAF1AF" w14:textId="77777777" w:rsidR="00736A70" w:rsidRDefault="00736A70" w:rsidP="00736A70">
      <w:pPr>
        <w:ind w:left="57" w:hanging="6"/>
        <w:jc w:val="both"/>
        <w:rPr>
          <w:rFonts w:ascii="Garamond" w:eastAsia="Calibri" w:hAnsi="Garamond" w:cs="Calibri"/>
          <w:sz w:val="22"/>
          <w:szCs w:val="22"/>
        </w:rPr>
      </w:pPr>
    </w:p>
    <w:p w14:paraId="7F16B8C3" w14:textId="77777777" w:rsidR="00736A70" w:rsidRDefault="00736A70" w:rsidP="00736A70">
      <w:pPr>
        <w:ind w:left="57" w:hanging="6"/>
        <w:jc w:val="both"/>
        <w:rPr>
          <w:rFonts w:ascii="Garamond" w:eastAsia="Calibri" w:hAnsi="Garamond" w:cs="Calibri"/>
          <w:sz w:val="22"/>
          <w:szCs w:val="22"/>
        </w:rPr>
      </w:pPr>
    </w:p>
    <w:p w14:paraId="25BB0A27" w14:textId="77777777" w:rsidR="00736A70" w:rsidRDefault="00736A70" w:rsidP="00736A70">
      <w:pPr>
        <w:ind w:left="57" w:hanging="6"/>
        <w:jc w:val="both"/>
        <w:rPr>
          <w:rFonts w:ascii="Garamond" w:eastAsia="Calibri" w:hAnsi="Garamond" w:cs="Calibri"/>
          <w:sz w:val="22"/>
          <w:szCs w:val="22"/>
        </w:rPr>
      </w:pPr>
    </w:p>
    <w:p w14:paraId="138130A5" w14:textId="77777777" w:rsidR="00736A70" w:rsidRDefault="00736A70" w:rsidP="00736A70">
      <w:pPr>
        <w:ind w:left="57" w:hanging="6"/>
        <w:jc w:val="both"/>
        <w:rPr>
          <w:rFonts w:ascii="Garamond" w:eastAsia="Calibri" w:hAnsi="Garamond" w:cs="Calibri"/>
          <w:sz w:val="22"/>
          <w:szCs w:val="22"/>
        </w:rPr>
      </w:pPr>
      <w:r w:rsidRPr="001B6666">
        <w:rPr>
          <w:rFonts w:ascii="Garamond" w:eastAsia="Calibri" w:hAnsi="Garamond" w:cs="Calibri"/>
          <w:sz w:val="22"/>
          <w:szCs w:val="22"/>
        </w:rPr>
        <w:t>Dans les deux cas, la résiliation est réalisée par lettre recommandée avec accusé de récepti</w:t>
      </w:r>
      <w:r>
        <w:rPr>
          <w:rFonts w:ascii="Garamond" w:eastAsia="Calibri" w:hAnsi="Garamond" w:cs="Calibri"/>
          <w:sz w:val="22"/>
          <w:szCs w:val="22"/>
        </w:rPr>
        <w:t>on. La résiliation prend effet</w:t>
      </w:r>
      <w:r w:rsidRPr="001B6666">
        <w:rPr>
          <w:rFonts w:ascii="Garamond" w:eastAsia="Calibri" w:hAnsi="Garamond" w:cs="Calibri"/>
          <w:sz w:val="22"/>
          <w:szCs w:val="22"/>
        </w:rPr>
        <w:t xml:space="preserve"> à la date de réception du courrier recommandé.</w:t>
      </w:r>
    </w:p>
    <w:p w14:paraId="5E33DF70" w14:textId="77777777" w:rsidR="00736A70" w:rsidRDefault="00736A70" w:rsidP="00736A70">
      <w:pPr>
        <w:ind w:left="57" w:hanging="6"/>
        <w:rPr>
          <w:rFonts w:ascii="Garamond" w:eastAsia="Calibri" w:hAnsi="Garamond" w:cs="Calibri"/>
          <w:sz w:val="22"/>
          <w:szCs w:val="22"/>
        </w:rPr>
      </w:pPr>
    </w:p>
    <w:p w14:paraId="070FC00E" w14:textId="77777777" w:rsidR="00736A70" w:rsidRDefault="00736A70" w:rsidP="00736A70">
      <w:pPr>
        <w:ind w:left="57" w:hanging="6"/>
        <w:rPr>
          <w:rFonts w:ascii="Garamond" w:eastAsia="Calibri" w:hAnsi="Garamond" w:cs="Calibri"/>
          <w:sz w:val="22"/>
          <w:szCs w:val="22"/>
        </w:rPr>
      </w:pPr>
    </w:p>
    <w:p w14:paraId="02478FF0" w14:textId="77777777" w:rsidR="00736A70" w:rsidRPr="001B6666" w:rsidRDefault="00736A70" w:rsidP="00736A70">
      <w:pPr>
        <w:ind w:left="57" w:hanging="6"/>
        <w:rPr>
          <w:rFonts w:ascii="Garamond" w:hAnsi="Garamond"/>
          <w:sz w:val="22"/>
          <w:szCs w:val="22"/>
        </w:rPr>
      </w:pPr>
    </w:p>
    <w:p w14:paraId="0E699C2B" w14:textId="77777777" w:rsidR="00736A70" w:rsidRPr="001B6666" w:rsidRDefault="00736A70" w:rsidP="00736A70">
      <w:pPr>
        <w:pBdr>
          <w:top w:val="single" w:sz="6" w:space="0" w:color="000000"/>
          <w:left w:val="single" w:sz="6" w:space="0" w:color="000000"/>
          <w:bottom w:val="single" w:sz="6" w:space="0" w:color="000000"/>
          <w:right w:val="single" w:sz="9" w:space="0" w:color="000000"/>
        </w:pBdr>
        <w:spacing w:after="304"/>
        <w:ind w:right="58"/>
        <w:jc w:val="center"/>
        <w:rPr>
          <w:rFonts w:ascii="Garamond" w:hAnsi="Garamond"/>
          <w:sz w:val="22"/>
          <w:szCs w:val="22"/>
        </w:rPr>
      </w:pPr>
      <w:r w:rsidRPr="001B6666">
        <w:rPr>
          <w:rFonts w:ascii="Garamond" w:eastAsia="Calibri" w:hAnsi="Garamond" w:cs="Calibri"/>
          <w:sz w:val="22"/>
          <w:szCs w:val="22"/>
        </w:rPr>
        <w:t>ARTICLE 8 : COMPETENCE JURIDICTIONNELLE</w:t>
      </w:r>
    </w:p>
    <w:p w14:paraId="0498D706" w14:textId="77777777" w:rsidR="00736A70" w:rsidRPr="001B6666" w:rsidRDefault="00736A70" w:rsidP="00736A70">
      <w:pPr>
        <w:spacing w:after="220" w:line="265" w:lineRule="auto"/>
        <w:ind w:left="53" w:hanging="3"/>
        <w:jc w:val="both"/>
        <w:rPr>
          <w:rFonts w:ascii="Garamond" w:hAnsi="Garamond"/>
          <w:sz w:val="22"/>
          <w:szCs w:val="22"/>
        </w:rPr>
      </w:pPr>
      <w:r w:rsidRPr="001B6666">
        <w:rPr>
          <w:rFonts w:ascii="Garamond" w:eastAsia="Calibri" w:hAnsi="Garamond" w:cs="Calibri"/>
          <w:sz w:val="22"/>
          <w:szCs w:val="22"/>
        </w:rPr>
        <w:t>Les litiges éventuels nés de l'application de la présente convention seront portés devant le tribunal</w:t>
      </w:r>
      <w:r>
        <w:rPr>
          <w:rFonts w:ascii="Garamond" w:eastAsia="Calibri" w:hAnsi="Garamond" w:cs="Calibri"/>
          <w:sz w:val="22"/>
          <w:szCs w:val="22"/>
        </w:rPr>
        <w:t xml:space="preserve"> administratif de Rouen</w:t>
      </w:r>
      <w:r w:rsidRPr="001B6666">
        <w:rPr>
          <w:rFonts w:ascii="Garamond" w:eastAsia="Calibri" w:hAnsi="Garamond" w:cs="Calibri"/>
          <w:sz w:val="22"/>
          <w:szCs w:val="22"/>
        </w:rPr>
        <w:t>.</w:t>
      </w:r>
    </w:p>
    <w:p w14:paraId="767DAA8A" w14:textId="77777777" w:rsidR="00736A70" w:rsidRDefault="00736A70" w:rsidP="00736A70">
      <w:pPr>
        <w:rPr>
          <w:rFonts w:ascii="Garamond" w:eastAsia="Calibri" w:hAnsi="Garamond"/>
          <w:sz w:val="22"/>
          <w:szCs w:val="22"/>
        </w:rPr>
      </w:pPr>
      <w:r>
        <w:rPr>
          <w:rFonts w:ascii="Garamond" w:eastAsia="Calibri" w:hAnsi="Garamond"/>
          <w:sz w:val="22"/>
          <w:szCs w:val="22"/>
        </w:rPr>
        <w:t>Fait à ……………………., le…………………</w:t>
      </w:r>
    </w:p>
    <w:p w14:paraId="4E045429" w14:textId="77777777" w:rsidR="00736A70" w:rsidRDefault="00736A70" w:rsidP="00736A70">
      <w:pPr>
        <w:rPr>
          <w:rFonts w:ascii="Garamond" w:eastAsia="Calibri" w:hAnsi="Garamond"/>
          <w:sz w:val="22"/>
          <w:szCs w:val="22"/>
        </w:rPr>
      </w:pPr>
    </w:p>
    <w:p w14:paraId="171D959E" w14:textId="77777777" w:rsidR="00736A70" w:rsidRDefault="00736A70" w:rsidP="00736A70">
      <w:pPr>
        <w:rPr>
          <w:rFonts w:ascii="Garamond" w:eastAsia="Calibri" w:hAnsi="Garamond"/>
          <w:sz w:val="22"/>
          <w:szCs w:val="22"/>
        </w:rPr>
      </w:pPr>
    </w:p>
    <w:p w14:paraId="65019760" w14:textId="39AFCF8C" w:rsidR="00736A70" w:rsidRDefault="00B8435C" w:rsidP="00736A70">
      <w:pPr>
        <w:rPr>
          <w:rFonts w:ascii="Garamond" w:eastAsia="Calibri" w:hAnsi="Garamond"/>
          <w:sz w:val="22"/>
          <w:szCs w:val="22"/>
        </w:rPr>
      </w:pPr>
      <w:r>
        <w:rPr>
          <w:rFonts w:ascii="Garamond" w:eastAsia="Calibri" w:hAnsi="Garamond"/>
          <w:sz w:val="22"/>
          <w:szCs w:val="22"/>
        </w:rPr>
        <w:t>Pour le Centre de gestion de la</w:t>
      </w:r>
      <w:r w:rsidR="00736A70">
        <w:rPr>
          <w:rFonts w:ascii="Garamond" w:eastAsia="Calibri" w:hAnsi="Garamond"/>
          <w:sz w:val="22"/>
          <w:szCs w:val="22"/>
        </w:rPr>
        <w:t xml:space="preserve"> FPT de l’EURE</w:t>
      </w:r>
      <w:r w:rsidR="00736A70">
        <w:rPr>
          <w:rFonts w:ascii="Garamond" w:eastAsia="Calibri" w:hAnsi="Garamond"/>
          <w:sz w:val="22"/>
          <w:szCs w:val="22"/>
        </w:rPr>
        <w:tab/>
      </w:r>
      <w:r w:rsidR="00736A70">
        <w:rPr>
          <w:rFonts w:ascii="Garamond" w:eastAsia="Calibri" w:hAnsi="Garamond"/>
          <w:sz w:val="22"/>
          <w:szCs w:val="22"/>
        </w:rPr>
        <w:tab/>
      </w:r>
      <w:r w:rsidR="00736A70">
        <w:rPr>
          <w:rFonts w:ascii="Garamond" w:eastAsia="Calibri" w:hAnsi="Garamond"/>
          <w:sz w:val="22"/>
          <w:szCs w:val="22"/>
        </w:rPr>
        <w:tab/>
        <w:t>Pour le Bénéficiaire</w:t>
      </w:r>
    </w:p>
    <w:p w14:paraId="09193AEF" w14:textId="77777777" w:rsidR="00736A70" w:rsidRDefault="00736A70" w:rsidP="00736A70">
      <w:pPr>
        <w:rPr>
          <w:rFonts w:ascii="Garamond" w:eastAsia="Calibri" w:hAnsi="Garamond"/>
          <w:sz w:val="22"/>
          <w:szCs w:val="22"/>
        </w:rPr>
      </w:pPr>
      <w:r>
        <w:rPr>
          <w:rFonts w:ascii="Garamond" w:eastAsia="Calibri" w:hAnsi="Garamond"/>
          <w:sz w:val="22"/>
          <w:szCs w:val="22"/>
        </w:rPr>
        <w:t>Le Président</w:t>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t>Le Maire/Président</w:t>
      </w:r>
    </w:p>
    <w:p w14:paraId="27F69C5F" w14:textId="77777777" w:rsidR="00736A70" w:rsidRDefault="00736A70" w:rsidP="00736A70">
      <w:pPr>
        <w:rPr>
          <w:rFonts w:ascii="Garamond" w:eastAsia="Calibri" w:hAnsi="Garamond"/>
          <w:sz w:val="22"/>
          <w:szCs w:val="22"/>
        </w:rPr>
      </w:pPr>
    </w:p>
    <w:p w14:paraId="3AD9AF2B" w14:textId="77777777" w:rsidR="00736A70" w:rsidRDefault="00736A70" w:rsidP="00736A70">
      <w:pPr>
        <w:rPr>
          <w:rFonts w:ascii="Garamond" w:eastAsia="Calibri" w:hAnsi="Garamond"/>
          <w:sz w:val="22"/>
          <w:szCs w:val="22"/>
        </w:rPr>
      </w:pPr>
    </w:p>
    <w:p w14:paraId="4C21E979" w14:textId="77777777" w:rsidR="00736A70" w:rsidRDefault="00736A70" w:rsidP="00736A70">
      <w:pPr>
        <w:rPr>
          <w:rFonts w:ascii="Garamond" w:eastAsia="Calibri" w:hAnsi="Garamond"/>
          <w:sz w:val="22"/>
          <w:szCs w:val="22"/>
        </w:rPr>
      </w:pPr>
    </w:p>
    <w:p w14:paraId="4C06B387" w14:textId="77777777" w:rsidR="00736A70" w:rsidRPr="001B6666" w:rsidRDefault="00736A70" w:rsidP="00736A70">
      <w:pPr>
        <w:rPr>
          <w:rFonts w:ascii="Garamond" w:eastAsia="Calibri" w:hAnsi="Garamond"/>
          <w:sz w:val="22"/>
          <w:szCs w:val="22"/>
        </w:rPr>
      </w:pPr>
      <w:r>
        <w:rPr>
          <w:rFonts w:ascii="Garamond" w:eastAsia="Calibri" w:hAnsi="Garamond"/>
          <w:sz w:val="22"/>
          <w:szCs w:val="22"/>
        </w:rPr>
        <w:t>Pascal LEHONGRE</w:t>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r>
      <w:r>
        <w:rPr>
          <w:rFonts w:ascii="Garamond" w:eastAsia="Calibri" w:hAnsi="Garamond"/>
          <w:sz w:val="22"/>
          <w:szCs w:val="22"/>
        </w:rPr>
        <w:tab/>
        <w:t>(Nom, prénom)</w:t>
      </w:r>
    </w:p>
    <w:p w14:paraId="38222373" w14:textId="77777777" w:rsidR="00736A70" w:rsidRPr="000E3CB3" w:rsidRDefault="00736A70" w:rsidP="00736A70">
      <w:pPr>
        <w:ind w:left="-426" w:right="-284"/>
        <w:rPr>
          <w:rFonts w:ascii="Garamond" w:eastAsia="Calibri" w:hAnsi="Garamond"/>
          <w:sz w:val="22"/>
          <w:szCs w:val="22"/>
        </w:rPr>
      </w:pPr>
    </w:p>
    <w:p w14:paraId="10B6D1B7" w14:textId="77777777" w:rsidR="00736A70" w:rsidRDefault="00736A70" w:rsidP="00736A70">
      <w:pPr>
        <w:tabs>
          <w:tab w:val="left" w:pos="960"/>
          <w:tab w:val="left" w:pos="3120"/>
        </w:tabs>
        <w:ind w:right="-567"/>
        <w:jc w:val="both"/>
        <w:rPr>
          <w:rFonts w:ascii="Garamond" w:hAnsi="Garamond"/>
          <w:szCs w:val="22"/>
        </w:rPr>
      </w:pPr>
    </w:p>
    <w:p w14:paraId="50981247" w14:textId="77777777" w:rsidR="00736A70" w:rsidRDefault="00736A70" w:rsidP="00736A70">
      <w:pPr>
        <w:tabs>
          <w:tab w:val="left" w:pos="960"/>
          <w:tab w:val="left" w:pos="3120"/>
        </w:tabs>
        <w:ind w:right="-567"/>
        <w:jc w:val="both"/>
        <w:rPr>
          <w:rFonts w:ascii="Garamond" w:hAnsi="Garamond"/>
          <w:szCs w:val="22"/>
        </w:rPr>
      </w:pPr>
    </w:p>
    <w:p w14:paraId="7501FB7E" w14:textId="77777777" w:rsidR="00736A70" w:rsidRDefault="00736A70" w:rsidP="00736A70">
      <w:pPr>
        <w:tabs>
          <w:tab w:val="left" w:pos="960"/>
          <w:tab w:val="left" w:pos="3120"/>
        </w:tabs>
        <w:ind w:right="-567"/>
        <w:jc w:val="both"/>
        <w:rPr>
          <w:rFonts w:ascii="Garamond" w:hAnsi="Garamond"/>
          <w:szCs w:val="22"/>
        </w:rPr>
      </w:pPr>
    </w:p>
    <w:p w14:paraId="6819F879" w14:textId="77777777" w:rsidR="00A16F9A" w:rsidRDefault="00A16F9A"/>
    <w:sectPr w:rsidR="00A16F9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DBAD" w14:textId="77777777" w:rsidR="00736A70" w:rsidRDefault="00736A70" w:rsidP="00736A70">
      <w:r>
        <w:separator/>
      </w:r>
    </w:p>
  </w:endnote>
  <w:endnote w:type="continuationSeparator" w:id="0">
    <w:p w14:paraId="53084980" w14:textId="77777777" w:rsidR="00736A70" w:rsidRDefault="00736A70" w:rsidP="0073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8"/>
      </w:rPr>
      <w:id w:val="1358542949"/>
      <w:docPartObj>
        <w:docPartGallery w:val="Page Numbers (Bottom of Page)"/>
        <w:docPartUnique/>
      </w:docPartObj>
    </w:sdtPr>
    <w:sdtEndPr/>
    <w:sdtContent>
      <w:sdt>
        <w:sdtPr>
          <w:rPr>
            <w:rFonts w:ascii="Garamond" w:hAnsi="Garamond"/>
            <w:sz w:val="18"/>
          </w:rPr>
          <w:id w:val="-1769616900"/>
          <w:docPartObj>
            <w:docPartGallery w:val="Page Numbers (Top of Page)"/>
            <w:docPartUnique/>
          </w:docPartObj>
        </w:sdtPr>
        <w:sdtEndPr/>
        <w:sdtContent>
          <w:p w14:paraId="127AF5DC" w14:textId="718E2E06" w:rsidR="00504B94" w:rsidRPr="00504B94" w:rsidRDefault="00504B94">
            <w:pPr>
              <w:pStyle w:val="Pieddepage"/>
              <w:jc w:val="right"/>
              <w:rPr>
                <w:rFonts w:ascii="Garamond" w:hAnsi="Garamond"/>
                <w:sz w:val="18"/>
              </w:rPr>
            </w:pPr>
            <w:r w:rsidRPr="00504B94">
              <w:rPr>
                <w:rFonts w:ascii="Garamond" w:hAnsi="Garamond"/>
                <w:sz w:val="18"/>
              </w:rPr>
              <w:t xml:space="preserve">Page </w:t>
            </w:r>
            <w:r w:rsidRPr="00504B94">
              <w:rPr>
                <w:rFonts w:ascii="Garamond" w:hAnsi="Garamond"/>
                <w:b/>
                <w:bCs/>
                <w:sz w:val="18"/>
              </w:rPr>
              <w:fldChar w:fldCharType="begin"/>
            </w:r>
            <w:r w:rsidRPr="00504B94">
              <w:rPr>
                <w:rFonts w:ascii="Garamond" w:hAnsi="Garamond"/>
                <w:b/>
                <w:bCs/>
                <w:sz w:val="18"/>
              </w:rPr>
              <w:instrText>PAGE</w:instrText>
            </w:r>
            <w:r w:rsidRPr="00504B94">
              <w:rPr>
                <w:rFonts w:ascii="Garamond" w:hAnsi="Garamond"/>
                <w:b/>
                <w:bCs/>
                <w:sz w:val="18"/>
              </w:rPr>
              <w:fldChar w:fldCharType="separate"/>
            </w:r>
            <w:r w:rsidR="00DE78C4">
              <w:rPr>
                <w:rFonts w:ascii="Garamond" w:hAnsi="Garamond"/>
                <w:b/>
                <w:bCs/>
                <w:noProof/>
                <w:sz w:val="18"/>
              </w:rPr>
              <w:t>4</w:t>
            </w:r>
            <w:r w:rsidRPr="00504B94">
              <w:rPr>
                <w:rFonts w:ascii="Garamond" w:hAnsi="Garamond"/>
                <w:b/>
                <w:bCs/>
                <w:sz w:val="18"/>
              </w:rPr>
              <w:fldChar w:fldCharType="end"/>
            </w:r>
            <w:r w:rsidRPr="00504B94">
              <w:rPr>
                <w:rFonts w:ascii="Garamond" w:hAnsi="Garamond"/>
                <w:sz w:val="18"/>
              </w:rPr>
              <w:t xml:space="preserve"> sur </w:t>
            </w:r>
            <w:r w:rsidRPr="00504B94">
              <w:rPr>
                <w:rFonts w:ascii="Garamond" w:hAnsi="Garamond"/>
                <w:b/>
                <w:bCs/>
                <w:sz w:val="18"/>
              </w:rPr>
              <w:fldChar w:fldCharType="begin"/>
            </w:r>
            <w:r w:rsidRPr="00504B94">
              <w:rPr>
                <w:rFonts w:ascii="Garamond" w:hAnsi="Garamond"/>
                <w:b/>
                <w:bCs/>
                <w:sz w:val="18"/>
              </w:rPr>
              <w:instrText>NUMPAGES</w:instrText>
            </w:r>
            <w:r w:rsidRPr="00504B94">
              <w:rPr>
                <w:rFonts w:ascii="Garamond" w:hAnsi="Garamond"/>
                <w:b/>
                <w:bCs/>
                <w:sz w:val="18"/>
              </w:rPr>
              <w:fldChar w:fldCharType="separate"/>
            </w:r>
            <w:r w:rsidR="00DE78C4">
              <w:rPr>
                <w:rFonts w:ascii="Garamond" w:hAnsi="Garamond"/>
                <w:b/>
                <w:bCs/>
                <w:noProof/>
                <w:sz w:val="18"/>
              </w:rPr>
              <w:t>4</w:t>
            </w:r>
            <w:r w:rsidRPr="00504B94">
              <w:rPr>
                <w:rFonts w:ascii="Garamond" w:hAnsi="Garamond"/>
                <w:b/>
                <w:bCs/>
                <w:sz w:val="18"/>
              </w:rPr>
              <w:fldChar w:fldCharType="end"/>
            </w:r>
          </w:p>
        </w:sdtContent>
      </w:sdt>
    </w:sdtContent>
  </w:sdt>
  <w:p w14:paraId="783CD50A" w14:textId="77777777" w:rsidR="00504B94" w:rsidRDefault="00504B9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E15B" w14:textId="77777777" w:rsidR="00736A70" w:rsidRDefault="00736A70" w:rsidP="00736A70">
      <w:r>
        <w:separator/>
      </w:r>
    </w:p>
  </w:footnote>
  <w:footnote w:type="continuationSeparator" w:id="0">
    <w:p w14:paraId="733F30DD" w14:textId="77777777" w:rsidR="00736A70" w:rsidRDefault="00736A70" w:rsidP="00736A70">
      <w:r>
        <w:continuationSeparator/>
      </w:r>
    </w:p>
  </w:footnote>
  <w:footnote w:id="1">
    <w:p w14:paraId="65842B25" w14:textId="77777777" w:rsidR="00736A70" w:rsidRPr="002B3AEB" w:rsidRDefault="00736A70" w:rsidP="00736A70">
      <w:pPr>
        <w:pStyle w:val="Notedebasdepage"/>
        <w:rPr>
          <w:rFonts w:ascii="Garamond" w:hAnsi="Garamond"/>
          <w:sz w:val="18"/>
        </w:rPr>
      </w:pPr>
      <w:r w:rsidRPr="002B3AEB">
        <w:rPr>
          <w:rStyle w:val="Appelnotedebasdep"/>
          <w:rFonts w:ascii="Garamond" w:hAnsi="Garamond"/>
          <w:sz w:val="18"/>
        </w:rPr>
        <w:footnoteRef/>
      </w:r>
      <w:r w:rsidRPr="002B3AEB">
        <w:rPr>
          <w:rFonts w:ascii="Garamond" w:hAnsi="Garamond"/>
          <w:sz w:val="18"/>
        </w:rPr>
        <w:t xml:space="preserve"> Pour 2025, délibération du 26/09/2024 sur les tarifs du CDG 27</w:t>
      </w:r>
    </w:p>
  </w:footnote>
  <w:footnote w:id="2">
    <w:p w14:paraId="1A782673" w14:textId="77777777" w:rsidR="00736A70" w:rsidRDefault="00736A70" w:rsidP="00736A70">
      <w:pPr>
        <w:pStyle w:val="Notedebasdepage"/>
      </w:pPr>
      <w:r w:rsidRPr="002B3AEB">
        <w:rPr>
          <w:rStyle w:val="Appelnotedebasdep"/>
          <w:rFonts w:ascii="Garamond" w:hAnsi="Garamond"/>
          <w:sz w:val="18"/>
        </w:rPr>
        <w:footnoteRef/>
      </w:r>
      <w:r w:rsidRPr="002B3AEB">
        <w:rPr>
          <w:rFonts w:ascii="Garamond" w:hAnsi="Garamond"/>
          <w:sz w:val="18"/>
        </w:rPr>
        <w:t xml:space="preserve"> Actuellement 30 jours à réception de la facture ou du titre de recette (avis des sommes à payer)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0B19" w14:textId="38626FD9" w:rsidR="00C93DEB" w:rsidRDefault="00C93DEB">
    <w:pPr>
      <w:pStyle w:val="En-tte"/>
    </w:pPr>
    <w:r w:rsidRPr="00AC5088">
      <w:rPr>
        <w:noProof/>
      </w:rPr>
      <w:drawing>
        <wp:inline distT="0" distB="0" distL="0" distR="0" wp14:anchorId="3369A2E9" wp14:editId="769B9EA1">
          <wp:extent cx="1760562" cy="989928"/>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6609" cy="1038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39F4"/>
    <w:multiLevelType w:val="hybridMultilevel"/>
    <w:tmpl w:val="05BC3E3E"/>
    <w:lvl w:ilvl="0" w:tplc="542C86C6">
      <w:start w:val="2"/>
      <w:numFmt w:val="decimal"/>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6A393A">
      <w:start w:val="1"/>
      <w:numFmt w:val="lowerLetter"/>
      <w:lvlText w:val="%2"/>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54E04E">
      <w:start w:val="1"/>
      <w:numFmt w:val="lowerRoman"/>
      <w:lvlText w:val="%3"/>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7293C0">
      <w:start w:val="1"/>
      <w:numFmt w:val="decimal"/>
      <w:lvlText w:val="%4"/>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335A">
      <w:start w:val="1"/>
      <w:numFmt w:val="lowerLetter"/>
      <w:lvlText w:val="%5"/>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D2E886">
      <w:start w:val="1"/>
      <w:numFmt w:val="lowerRoman"/>
      <w:lvlText w:val="%6"/>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AEBA2">
      <w:start w:val="1"/>
      <w:numFmt w:val="decimal"/>
      <w:lvlText w:val="%7"/>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76529C">
      <w:start w:val="1"/>
      <w:numFmt w:val="lowerLetter"/>
      <w:lvlText w:val="%8"/>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3456E4">
      <w:start w:val="1"/>
      <w:numFmt w:val="lowerRoman"/>
      <w:lvlText w:val="%9"/>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587119"/>
    <w:multiLevelType w:val="hybridMultilevel"/>
    <w:tmpl w:val="F78E8422"/>
    <w:lvl w:ilvl="0" w:tplc="3D48572E">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C07E5E"/>
    <w:multiLevelType w:val="hybridMultilevel"/>
    <w:tmpl w:val="73DC52B4"/>
    <w:lvl w:ilvl="0" w:tplc="55BC99EC">
      <w:start w:val="1"/>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32B78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B2D0D0">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66C38">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E2A908">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0C64A8">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922246">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A6D3E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2FB2C">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70"/>
    <w:rsid w:val="000B5B98"/>
    <w:rsid w:val="000F4D04"/>
    <w:rsid w:val="002B3AEB"/>
    <w:rsid w:val="002D20CC"/>
    <w:rsid w:val="00345EF5"/>
    <w:rsid w:val="00381288"/>
    <w:rsid w:val="003B25EC"/>
    <w:rsid w:val="00504B94"/>
    <w:rsid w:val="005334DE"/>
    <w:rsid w:val="006575A9"/>
    <w:rsid w:val="00736A70"/>
    <w:rsid w:val="00744BFE"/>
    <w:rsid w:val="00872A66"/>
    <w:rsid w:val="008E7F63"/>
    <w:rsid w:val="00944A5E"/>
    <w:rsid w:val="00A16F9A"/>
    <w:rsid w:val="00B63CC6"/>
    <w:rsid w:val="00B675DF"/>
    <w:rsid w:val="00B76E9F"/>
    <w:rsid w:val="00B8435C"/>
    <w:rsid w:val="00C12C7C"/>
    <w:rsid w:val="00C93DEB"/>
    <w:rsid w:val="00CA2002"/>
    <w:rsid w:val="00D44CE5"/>
    <w:rsid w:val="00DE7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A0CC"/>
  <w15:chartTrackingRefBased/>
  <w15:docId w15:val="{22F907C9-F953-4A3F-8594-C456A4D0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70"/>
    <w:pPr>
      <w:spacing w:after="0" w:line="240" w:lineRule="auto"/>
    </w:pPr>
    <w:rPr>
      <w:rFonts w:ascii="Times New Roman" w:eastAsia="Times New Roman" w:hAnsi="Times New Roman" w:cs="Times New Roman"/>
      <w:kern w:val="0"/>
      <w:szCs w:val="24"/>
      <w:lang w:eastAsia="fr-FR"/>
      <w14:ligatures w14:val="none"/>
    </w:rPr>
  </w:style>
  <w:style w:type="paragraph" w:styleId="Titre2">
    <w:name w:val="heading 2"/>
    <w:basedOn w:val="Normal"/>
    <w:next w:val="Corpsdetexte"/>
    <w:link w:val="Titre2Car"/>
    <w:qFormat/>
    <w:rsid w:val="00736A70"/>
    <w:pPr>
      <w:keepNext/>
      <w:keepLines/>
      <w:spacing w:line="532" w:lineRule="auto"/>
      <w:ind w:left="840" w:right="-240"/>
      <w:outlineLvl w:val="1"/>
    </w:pPr>
    <w:rPr>
      <w:rFonts w:ascii="Arial" w:hAnsi="Arial"/>
      <w:b/>
      <w:spacing w:val="-10"/>
      <w:kern w:val="2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36A70"/>
    <w:rPr>
      <w:rFonts w:ascii="Arial" w:eastAsia="Times New Roman" w:hAnsi="Arial" w:cs="Times New Roman"/>
      <w:b/>
      <w:spacing w:val="-10"/>
      <w:kern w:val="28"/>
      <w:sz w:val="18"/>
      <w:szCs w:val="24"/>
      <w:lang w:eastAsia="fr-FR"/>
      <w14:ligatures w14:val="none"/>
    </w:rPr>
  </w:style>
  <w:style w:type="paragraph" w:styleId="Notedebasdepage">
    <w:name w:val="footnote text"/>
    <w:basedOn w:val="Normal"/>
    <w:link w:val="NotedebasdepageCar"/>
    <w:uiPriority w:val="99"/>
    <w:semiHidden/>
    <w:rsid w:val="00736A70"/>
    <w:rPr>
      <w:rFonts w:ascii="Tahoma" w:hAnsi="Tahoma"/>
      <w:sz w:val="22"/>
    </w:rPr>
  </w:style>
  <w:style w:type="character" w:customStyle="1" w:styleId="NotedebasdepageCar">
    <w:name w:val="Note de bas de page Car"/>
    <w:basedOn w:val="Policepardfaut"/>
    <w:link w:val="Notedebasdepage"/>
    <w:uiPriority w:val="99"/>
    <w:semiHidden/>
    <w:rsid w:val="00736A70"/>
    <w:rPr>
      <w:rFonts w:ascii="Tahoma" w:eastAsia="Times New Roman" w:hAnsi="Tahoma" w:cs="Times New Roman"/>
      <w:kern w:val="0"/>
      <w:sz w:val="22"/>
      <w:szCs w:val="24"/>
      <w:lang w:eastAsia="fr-FR"/>
      <w14:ligatures w14:val="none"/>
    </w:rPr>
  </w:style>
  <w:style w:type="character" w:styleId="Appelnotedebasdep">
    <w:name w:val="footnote reference"/>
    <w:uiPriority w:val="99"/>
    <w:semiHidden/>
    <w:unhideWhenUsed/>
    <w:rsid w:val="00736A70"/>
    <w:rPr>
      <w:vertAlign w:val="superscript"/>
    </w:rPr>
  </w:style>
  <w:style w:type="paragraph" w:styleId="Corpsdetexte">
    <w:name w:val="Body Text"/>
    <w:basedOn w:val="Normal"/>
    <w:link w:val="CorpsdetexteCar"/>
    <w:uiPriority w:val="99"/>
    <w:semiHidden/>
    <w:unhideWhenUsed/>
    <w:rsid w:val="00736A70"/>
    <w:pPr>
      <w:spacing w:after="120"/>
    </w:pPr>
  </w:style>
  <w:style w:type="character" w:customStyle="1" w:styleId="CorpsdetexteCar">
    <w:name w:val="Corps de texte Car"/>
    <w:basedOn w:val="Policepardfaut"/>
    <w:link w:val="Corpsdetexte"/>
    <w:uiPriority w:val="99"/>
    <w:semiHidden/>
    <w:rsid w:val="00736A70"/>
    <w:rPr>
      <w:rFonts w:ascii="Times New Roman" w:eastAsia="Times New Roman" w:hAnsi="Times New Roman" w:cs="Times New Roman"/>
      <w:kern w:val="0"/>
      <w:szCs w:val="24"/>
      <w:lang w:eastAsia="fr-FR"/>
      <w14:ligatures w14:val="none"/>
    </w:rPr>
  </w:style>
  <w:style w:type="character" w:styleId="Marquedecommentaire">
    <w:name w:val="annotation reference"/>
    <w:basedOn w:val="Policepardfaut"/>
    <w:uiPriority w:val="99"/>
    <w:semiHidden/>
    <w:unhideWhenUsed/>
    <w:rsid w:val="00736A70"/>
    <w:rPr>
      <w:sz w:val="16"/>
      <w:szCs w:val="16"/>
    </w:rPr>
  </w:style>
  <w:style w:type="paragraph" w:styleId="Commentaire">
    <w:name w:val="annotation text"/>
    <w:basedOn w:val="Normal"/>
    <w:link w:val="CommentaireCar"/>
    <w:uiPriority w:val="99"/>
    <w:semiHidden/>
    <w:unhideWhenUsed/>
    <w:rsid w:val="00736A70"/>
    <w:rPr>
      <w:sz w:val="20"/>
      <w:szCs w:val="20"/>
    </w:rPr>
  </w:style>
  <w:style w:type="character" w:customStyle="1" w:styleId="CommentaireCar">
    <w:name w:val="Commentaire Car"/>
    <w:basedOn w:val="Policepardfaut"/>
    <w:link w:val="Commentaire"/>
    <w:uiPriority w:val="99"/>
    <w:semiHidden/>
    <w:rsid w:val="00736A70"/>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736A70"/>
    <w:rPr>
      <w:b/>
      <w:bCs/>
    </w:rPr>
  </w:style>
  <w:style w:type="character" w:customStyle="1" w:styleId="ObjetducommentaireCar">
    <w:name w:val="Objet du commentaire Car"/>
    <w:basedOn w:val="CommentaireCar"/>
    <w:link w:val="Objetducommentaire"/>
    <w:uiPriority w:val="99"/>
    <w:semiHidden/>
    <w:rsid w:val="00736A70"/>
    <w:rPr>
      <w:rFonts w:ascii="Times New Roman" w:eastAsia="Times New Roman" w:hAnsi="Times New Roman" w:cs="Times New Roman"/>
      <w:b/>
      <w:bCs/>
      <w:kern w:val="0"/>
      <w:sz w:val="20"/>
      <w:szCs w:val="20"/>
      <w:lang w:eastAsia="fr-FR"/>
      <w14:ligatures w14:val="none"/>
    </w:rPr>
  </w:style>
  <w:style w:type="paragraph" w:styleId="Textedebulles">
    <w:name w:val="Balloon Text"/>
    <w:basedOn w:val="Normal"/>
    <w:link w:val="TextedebullesCar"/>
    <w:uiPriority w:val="99"/>
    <w:semiHidden/>
    <w:unhideWhenUsed/>
    <w:rsid w:val="00736A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A70"/>
    <w:rPr>
      <w:rFonts w:ascii="Segoe UI" w:eastAsia="Times New Roman" w:hAnsi="Segoe UI" w:cs="Segoe UI"/>
      <w:kern w:val="0"/>
      <w:sz w:val="18"/>
      <w:szCs w:val="18"/>
      <w:lang w:eastAsia="fr-FR"/>
      <w14:ligatures w14:val="none"/>
    </w:rPr>
  </w:style>
  <w:style w:type="character" w:styleId="Lienhypertexte">
    <w:name w:val="Hyperlink"/>
    <w:basedOn w:val="Policepardfaut"/>
    <w:uiPriority w:val="99"/>
    <w:semiHidden/>
    <w:unhideWhenUsed/>
    <w:rsid w:val="00B63CC6"/>
    <w:rPr>
      <w:color w:val="0000FF"/>
      <w:u w:val="single"/>
    </w:rPr>
  </w:style>
  <w:style w:type="paragraph" w:styleId="En-tte">
    <w:name w:val="header"/>
    <w:basedOn w:val="Normal"/>
    <w:link w:val="En-tteCar"/>
    <w:uiPriority w:val="99"/>
    <w:unhideWhenUsed/>
    <w:rsid w:val="00C93DEB"/>
    <w:pPr>
      <w:tabs>
        <w:tab w:val="center" w:pos="4536"/>
        <w:tab w:val="right" w:pos="9072"/>
      </w:tabs>
    </w:pPr>
  </w:style>
  <w:style w:type="character" w:customStyle="1" w:styleId="En-tteCar">
    <w:name w:val="En-tête Car"/>
    <w:basedOn w:val="Policepardfaut"/>
    <w:link w:val="En-tte"/>
    <w:uiPriority w:val="99"/>
    <w:rsid w:val="00C93DEB"/>
    <w:rPr>
      <w:rFonts w:ascii="Times New Roman" w:eastAsia="Times New Roman" w:hAnsi="Times New Roman" w:cs="Times New Roman"/>
      <w:kern w:val="0"/>
      <w:szCs w:val="24"/>
      <w:lang w:eastAsia="fr-FR"/>
      <w14:ligatures w14:val="none"/>
    </w:rPr>
  </w:style>
  <w:style w:type="paragraph" w:styleId="Pieddepage">
    <w:name w:val="footer"/>
    <w:basedOn w:val="Normal"/>
    <w:link w:val="PieddepageCar"/>
    <w:uiPriority w:val="99"/>
    <w:unhideWhenUsed/>
    <w:rsid w:val="00C93DEB"/>
    <w:pPr>
      <w:tabs>
        <w:tab w:val="center" w:pos="4536"/>
        <w:tab w:val="right" w:pos="9072"/>
      </w:tabs>
    </w:pPr>
  </w:style>
  <w:style w:type="character" w:customStyle="1" w:styleId="PieddepageCar">
    <w:name w:val="Pied de page Car"/>
    <w:basedOn w:val="Policepardfaut"/>
    <w:link w:val="Pieddepage"/>
    <w:uiPriority w:val="99"/>
    <w:rsid w:val="00C93DEB"/>
    <w:rPr>
      <w:rFonts w:ascii="Times New Roman" w:eastAsia="Times New Roman" w:hAnsi="Times New Roman" w:cs="Times New Roman"/>
      <w:kern w:val="0"/>
      <w:szCs w:val="24"/>
      <w:lang w:eastAsia="fr-FR"/>
      <w14:ligatures w14:val="none"/>
    </w:rPr>
  </w:style>
  <w:style w:type="character" w:styleId="Lienhypertextesuivivisit">
    <w:name w:val="FollowedHyperlink"/>
    <w:basedOn w:val="Policepardfaut"/>
    <w:uiPriority w:val="99"/>
    <w:semiHidden/>
    <w:unhideWhenUsed/>
    <w:rsid w:val="003B2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1155</Words>
  <Characters>6356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CHAUTARD</dc:creator>
  <cp:keywords/>
  <dc:description/>
  <cp:lastModifiedBy>Ombeline FRENEL - CDG27</cp:lastModifiedBy>
  <cp:revision>19</cp:revision>
  <cp:lastPrinted>2025-03-18T11:40:00Z</cp:lastPrinted>
  <dcterms:created xsi:type="dcterms:W3CDTF">2025-03-17T13:09:00Z</dcterms:created>
  <dcterms:modified xsi:type="dcterms:W3CDTF">2025-03-28T12:50:00Z</dcterms:modified>
</cp:coreProperties>
</file>